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1A" w:rsidRPr="00583D10" w:rsidRDefault="00F3293F" w:rsidP="002E410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83D10">
        <w:rPr>
          <w:rFonts w:ascii="Arial" w:hAnsi="Arial" w:cs="Arial"/>
          <w:b/>
          <w:sz w:val="24"/>
          <w:szCs w:val="24"/>
          <w:lang w:val="es-ES_tradnl"/>
        </w:rPr>
        <w:t>Facultad de Medicina U.B.A</w:t>
      </w:r>
    </w:p>
    <w:p w:rsidR="00F3293F" w:rsidRPr="00583D10" w:rsidRDefault="00F3293F" w:rsidP="00F3293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83D10">
        <w:rPr>
          <w:rFonts w:ascii="Arial" w:hAnsi="Arial" w:cs="Arial"/>
          <w:b/>
          <w:sz w:val="24"/>
          <w:szCs w:val="24"/>
          <w:lang w:val="es-ES_tradnl"/>
        </w:rPr>
        <w:t xml:space="preserve">Tecnicatura Universitaria en </w:t>
      </w:r>
      <w:r w:rsidR="00721484" w:rsidRPr="00721484">
        <w:rPr>
          <w:rFonts w:ascii="Arial" w:hAnsi="Arial" w:cs="Arial"/>
          <w:b/>
          <w:sz w:val="24"/>
        </w:rPr>
        <w:t>Hemoterapia e Inmunohematología</w:t>
      </w:r>
    </w:p>
    <w:p w:rsidR="00F3293F" w:rsidRPr="00583D10" w:rsidRDefault="00F3293F" w:rsidP="00F3293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3293F" w:rsidRPr="00CB7A1F" w:rsidRDefault="00742518" w:rsidP="00F3293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AR"/>
        </w:rPr>
        <w:t>Bioestadística y Epidemiologia</w:t>
      </w:r>
    </w:p>
    <w:p w:rsidR="00721484" w:rsidRPr="00583D10" w:rsidRDefault="00721484" w:rsidP="00F3293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21484" w:rsidRDefault="00721484" w:rsidP="00DF08BF">
      <w:pPr>
        <w:pStyle w:val="Sinespaciado"/>
        <w:rPr>
          <w:rFonts w:ascii="Arial" w:hAnsi="Arial" w:cs="Arial"/>
          <w:lang w:val="es-ES_tradnl"/>
        </w:rPr>
      </w:pPr>
    </w:p>
    <w:p w:rsidR="00DA25AD" w:rsidRPr="00F3293F" w:rsidRDefault="00DA25AD" w:rsidP="00F3293F">
      <w:pPr>
        <w:pStyle w:val="Sinespaciado"/>
        <w:rPr>
          <w:rFonts w:ascii="Arial" w:hAnsi="Arial" w:cs="Arial"/>
          <w:b/>
          <w:u w:val="single"/>
          <w:lang w:val="es-ES_tradnl"/>
        </w:rPr>
      </w:pPr>
      <w:r w:rsidRPr="00F3293F">
        <w:rPr>
          <w:rFonts w:ascii="Arial" w:hAnsi="Arial" w:cs="Arial"/>
          <w:b/>
          <w:u w:val="single"/>
          <w:lang w:val="es-ES_tradnl"/>
        </w:rPr>
        <w:t>Propósitos:</w:t>
      </w:r>
    </w:p>
    <w:p w:rsidR="00F3293F" w:rsidRPr="00DF08BF" w:rsidRDefault="00F3293F" w:rsidP="00F3293F">
      <w:pPr>
        <w:pStyle w:val="Sinespaciado"/>
        <w:ind w:left="720"/>
        <w:rPr>
          <w:rFonts w:ascii="Arial" w:hAnsi="Arial" w:cs="Arial"/>
          <w:b/>
          <w:lang w:val="es-ES_tradnl"/>
        </w:rPr>
      </w:pPr>
    </w:p>
    <w:p w:rsidR="00742518" w:rsidRPr="00742518" w:rsidRDefault="00742518" w:rsidP="00742518">
      <w:pPr>
        <w:pStyle w:val="Textoindependiente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sz w:val="22"/>
          <w:szCs w:val="22"/>
        </w:rPr>
        <w:t xml:space="preserve">La inclusión de la asignatura Bioestadística y Epidemiología en las carreras de ciencias de la salud resulta imprescindible dado el avance acelerado de la ciencia y el triple </w:t>
      </w:r>
      <w:proofErr w:type="spellStart"/>
      <w:r w:rsidRPr="00742518">
        <w:rPr>
          <w:rFonts w:ascii="Arial" w:hAnsi="Arial" w:cs="Arial"/>
          <w:sz w:val="22"/>
          <w:szCs w:val="22"/>
        </w:rPr>
        <w:t>desafio</w:t>
      </w:r>
      <w:proofErr w:type="spellEnd"/>
      <w:r w:rsidRPr="00742518">
        <w:rPr>
          <w:rFonts w:ascii="Arial" w:hAnsi="Arial" w:cs="Arial"/>
          <w:sz w:val="22"/>
          <w:szCs w:val="22"/>
        </w:rPr>
        <w:t xml:space="preserve"> asumido por la educación superior de formar profesionales idóneos, responsables frente a las necesidades de la comunidad y capaces de generar nuevos conocimientos.</w:t>
      </w:r>
    </w:p>
    <w:p w:rsidR="00742518" w:rsidRPr="00742518" w:rsidRDefault="00742518" w:rsidP="00742518">
      <w:pPr>
        <w:pStyle w:val="Textoindependiente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sz w:val="22"/>
          <w:szCs w:val="22"/>
        </w:rPr>
        <w:t xml:space="preserve">Dar cumplimiento a esos compromisos supone dorar a los futuros </w:t>
      </w:r>
      <w:r w:rsidR="004A57B1">
        <w:rPr>
          <w:rFonts w:ascii="Arial" w:hAnsi="Arial" w:cs="Arial"/>
          <w:sz w:val="22"/>
          <w:szCs w:val="22"/>
        </w:rPr>
        <w:t xml:space="preserve">Técnicos Universitarios en Hemoterapia e Inmunohematología </w:t>
      </w:r>
      <w:r w:rsidRPr="00742518">
        <w:rPr>
          <w:rFonts w:ascii="Arial" w:hAnsi="Arial" w:cs="Arial"/>
          <w:sz w:val="22"/>
          <w:szCs w:val="22"/>
        </w:rPr>
        <w:t>de medios que les permitan: el acceso y la selección efectiva de la información para enfrentar los problemas, el desarrollo de su juicio crítico y la adquisición de las capacidades para desempeñarse como investigadores.</w:t>
      </w:r>
    </w:p>
    <w:p w:rsidR="00742518" w:rsidRPr="00742518" w:rsidRDefault="00742518" w:rsidP="00742518">
      <w:pPr>
        <w:pStyle w:val="Saludo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42518">
        <w:rPr>
          <w:rFonts w:ascii="Arial" w:hAnsi="Arial" w:cs="Arial"/>
          <w:snapToGrid w:val="0"/>
          <w:sz w:val="22"/>
          <w:szCs w:val="22"/>
        </w:rPr>
        <w:t xml:space="preserve">Para comprender y hacer ciencia se requiere simultáneamente conocimientos de Metodología y  Estadística. La primera indica el método y junto con la segunda aportan las herramientas para que el producto de las investigaciones se distinga de otros tipos de conocimiento y se lo reconozca como científico. </w:t>
      </w:r>
      <w:smartTag w:uri="urn:schemas-microsoft-com:office:smarttags" w:element="PersonName">
        <w:smartTagPr>
          <w:attr w:name="ProductID" w:val="La Epidemiología"/>
        </w:smartTagPr>
        <w:r w:rsidRPr="00742518">
          <w:rPr>
            <w:rFonts w:ascii="Arial" w:hAnsi="Arial" w:cs="Arial"/>
            <w:snapToGrid w:val="0"/>
            <w:sz w:val="22"/>
            <w:szCs w:val="22"/>
          </w:rPr>
          <w:t>La Epidemiología</w:t>
        </w:r>
      </w:smartTag>
      <w:r w:rsidRPr="00742518">
        <w:rPr>
          <w:rFonts w:ascii="Arial" w:hAnsi="Arial" w:cs="Arial"/>
          <w:snapToGrid w:val="0"/>
          <w:sz w:val="22"/>
          <w:szCs w:val="22"/>
        </w:rPr>
        <w:t xml:space="preserve"> permite interpretar los datos de la realidad poblacional en salud, elementos indispensables para la toma de decisiones y el planteo de soluciones. La permanente preocupación en torno a la objetividad, la validez y la confiabilidad de los conocimientos exige un mayor dominio de estas disciplinas. </w:t>
      </w:r>
    </w:p>
    <w:p w:rsidR="00721484" w:rsidRDefault="00721484" w:rsidP="00DF08BF">
      <w:pPr>
        <w:pStyle w:val="Sinespaciado"/>
        <w:jc w:val="both"/>
        <w:rPr>
          <w:rFonts w:ascii="Arial" w:hAnsi="Arial" w:cs="Arial"/>
          <w:lang w:val="es-ES_tradnl"/>
        </w:rPr>
      </w:pPr>
    </w:p>
    <w:p w:rsidR="00721484" w:rsidRDefault="00721484" w:rsidP="00DF08BF">
      <w:pPr>
        <w:pStyle w:val="Sinespaciado"/>
        <w:jc w:val="both"/>
        <w:rPr>
          <w:rFonts w:ascii="Arial" w:hAnsi="Arial" w:cs="Arial"/>
          <w:lang w:val="es-ES_tradnl"/>
        </w:rPr>
      </w:pPr>
    </w:p>
    <w:p w:rsidR="00DA25AD" w:rsidRDefault="00DA25AD" w:rsidP="00DF08B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  <w:r w:rsidRPr="00F3293F">
        <w:rPr>
          <w:rFonts w:ascii="Arial" w:hAnsi="Arial" w:cs="Arial"/>
          <w:b/>
          <w:u w:val="single"/>
          <w:lang w:val="es-ES_tradnl"/>
        </w:rPr>
        <w:t>Objetivos generales:</w:t>
      </w:r>
    </w:p>
    <w:p w:rsidR="00F3293F" w:rsidRPr="00F3293F" w:rsidRDefault="00F3293F" w:rsidP="00DF08B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Pr="00827EC2" w:rsidRDefault="00DA25AD" w:rsidP="00DF08BF">
      <w:pPr>
        <w:pStyle w:val="Sinespaciado"/>
        <w:jc w:val="both"/>
        <w:rPr>
          <w:rFonts w:ascii="Arial" w:hAnsi="Arial" w:cs="Arial"/>
          <w:b/>
          <w:lang w:val="es-ES_tradnl"/>
        </w:rPr>
      </w:pPr>
      <w:r w:rsidRPr="00827EC2">
        <w:rPr>
          <w:rFonts w:ascii="Arial" w:hAnsi="Arial" w:cs="Arial"/>
          <w:b/>
          <w:lang w:val="es-ES_tradnl"/>
        </w:rPr>
        <w:t>Que el alumno</w:t>
      </w:r>
      <w:r w:rsidR="00B26BF6">
        <w:rPr>
          <w:rFonts w:ascii="Arial" w:hAnsi="Arial" w:cs="Arial"/>
          <w:b/>
          <w:lang w:val="es-ES_tradnl"/>
        </w:rPr>
        <w:t xml:space="preserve"> pueda</w:t>
      </w:r>
      <w:r w:rsidRPr="00827EC2">
        <w:rPr>
          <w:rFonts w:ascii="Arial" w:hAnsi="Arial" w:cs="Arial"/>
          <w:b/>
          <w:lang w:val="es-ES_tradnl"/>
        </w:rPr>
        <w:t>: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napToGrid w:val="0"/>
          <w:sz w:val="22"/>
        </w:rPr>
      </w:pPr>
      <w:r w:rsidRPr="00742518">
        <w:rPr>
          <w:rFonts w:ascii="Arial" w:hAnsi="Arial" w:cs="Arial"/>
          <w:snapToGrid w:val="0"/>
          <w:sz w:val="22"/>
        </w:rPr>
        <w:t>Reconocer las características del Conocimiento Científico.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napToGrid w:val="0"/>
          <w:sz w:val="22"/>
        </w:rPr>
      </w:pPr>
      <w:r w:rsidRPr="00742518">
        <w:rPr>
          <w:rFonts w:ascii="Arial" w:hAnsi="Arial" w:cs="Arial"/>
          <w:snapToGrid w:val="0"/>
          <w:sz w:val="22"/>
        </w:rPr>
        <w:t>Comprender los Principios y Conceptos del Proceso de Investigación.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napToGrid w:val="0"/>
          <w:sz w:val="22"/>
        </w:rPr>
      </w:pPr>
      <w:r w:rsidRPr="00742518">
        <w:rPr>
          <w:rFonts w:ascii="Arial" w:hAnsi="Arial" w:cs="Arial"/>
          <w:snapToGrid w:val="0"/>
          <w:sz w:val="22"/>
        </w:rPr>
        <w:t xml:space="preserve">Adquirir la capacidad de aplicar Técnicas de Investigación para </w:t>
      </w:r>
      <w:smartTag w:uri="urn:schemas-microsoft-com:office:smarttags" w:element="PersonName">
        <w:smartTagPr>
          <w:attr w:name="ProductID" w:val="la Producción Científica."/>
        </w:smartTagPr>
        <w:r w:rsidRPr="00742518">
          <w:rPr>
            <w:rFonts w:ascii="Arial" w:hAnsi="Arial" w:cs="Arial"/>
            <w:snapToGrid w:val="0"/>
            <w:sz w:val="22"/>
          </w:rPr>
          <w:t>la Producción Científica.</w:t>
        </w:r>
      </w:smartTag>
    </w:p>
    <w:p w:rsidR="00742518" w:rsidRPr="00742518" w:rsidRDefault="00742518" w:rsidP="00742518">
      <w:pPr>
        <w:pStyle w:val="Prrafodelista"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napToGrid w:val="0"/>
          <w:sz w:val="22"/>
        </w:rPr>
      </w:pPr>
      <w:r w:rsidRPr="00742518">
        <w:rPr>
          <w:rFonts w:ascii="Arial" w:hAnsi="Arial" w:cs="Arial"/>
          <w:snapToGrid w:val="0"/>
          <w:sz w:val="22"/>
        </w:rPr>
        <w:t xml:space="preserve">Promover </w:t>
      </w:r>
      <w:smartTag w:uri="urn:schemas-microsoft-com:office:smarttags" w:element="PersonName">
        <w:smartTagPr>
          <w:attr w:name="ProductID" w:val="la Actitud Científica"/>
        </w:smartTagPr>
        <w:r w:rsidRPr="00742518">
          <w:rPr>
            <w:rFonts w:ascii="Arial" w:hAnsi="Arial" w:cs="Arial"/>
            <w:snapToGrid w:val="0"/>
            <w:sz w:val="22"/>
          </w:rPr>
          <w:t>la Actitud Científica</w:t>
        </w:r>
      </w:smartTag>
      <w:r w:rsidRPr="00742518">
        <w:rPr>
          <w:rFonts w:ascii="Arial" w:hAnsi="Arial" w:cs="Arial"/>
          <w:snapToGrid w:val="0"/>
          <w:sz w:val="22"/>
        </w:rPr>
        <w:t xml:space="preserve"> ante la resolución de problemas.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napToGrid w:val="0"/>
          <w:sz w:val="22"/>
        </w:rPr>
      </w:pPr>
      <w:r w:rsidRPr="00742518">
        <w:rPr>
          <w:rFonts w:ascii="Arial" w:hAnsi="Arial" w:cs="Arial"/>
          <w:snapToGrid w:val="0"/>
          <w:sz w:val="22"/>
        </w:rPr>
        <w:t>Despertar el interés por la producción de Conocimientos Científicos.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napToGrid w:val="0"/>
          <w:sz w:val="22"/>
        </w:rPr>
      </w:pPr>
      <w:r w:rsidRPr="00742518">
        <w:rPr>
          <w:rFonts w:ascii="Arial" w:hAnsi="Arial" w:cs="Arial"/>
          <w:snapToGrid w:val="0"/>
          <w:sz w:val="22"/>
        </w:rPr>
        <w:t>Desarrollar el  análisis crítico  de investigaciones publicadas.</w:t>
      </w:r>
    </w:p>
    <w:p w:rsidR="00B26BF6" w:rsidRPr="0019162E" w:rsidRDefault="00B26BF6" w:rsidP="00742518">
      <w:pPr>
        <w:pStyle w:val="Normal1"/>
        <w:ind w:left="1440"/>
      </w:pPr>
    </w:p>
    <w:p w:rsidR="00DA25AD" w:rsidRDefault="00DA25AD" w:rsidP="00181451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  <w:r w:rsidRPr="00F3293F">
        <w:rPr>
          <w:rFonts w:ascii="Arial" w:hAnsi="Arial" w:cs="Arial"/>
          <w:b/>
          <w:u w:val="single"/>
          <w:lang w:val="es-ES_tradnl"/>
        </w:rPr>
        <w:t>Contenidos:</w:t>
      </w:r>
    </w:p>
    <w:p w:rsidR="00742518" w:rsidRDefault="00742518" w:rsidP="00181451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742518" w:rsidRPr="00742518" w:rsidRDefault="00742518" w:rsidP="00742518">
      <w:pPr>
        <w:pStyle w:val="Ttulo3"/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742518">
        <w:rPr>
          <w:rFonts w:ascii="Arial" w:hAnsi="Arial" w:cs="Arial"/>
          <w:sz w:val="22"/>
          <w:szCs w:val="22"/>
        </w:rPr>
        <w:t xml:space="preserve">Unidad 1. Conceptos de estadística. </w:t>
      </w:r>
      <w:r w:rsidRPr="00742518">
        <w:rPr>
          <w:rFonts w:ascii="Arial" w:hAnsi="Arial" w:cs="Arial"/>
          <w:b w:val="0"/>
          <w:sz w:val="22"/>
          <w:szCs w:val="22"/>
        </w:rPr>
        <w:t xml:space="preserve">Estadística descriptiva y estadística inferencial o deductiva.  Población. </w:t>
      </w:r>
      <w:proofErr w:type="gramStart"/>
      <w:r w:rsidRPr="00742518">
        <w:rPr>
          <w:rFonts w:ascii="Arial" w:hAnsi="Arial" w:cs="Arial"/>
          <w:b w:val="0"/>
          <w:sz w:val="22"/>
          <w:szCs w:val="22"/>
        </w:rPr>
        <w:t>y</w:t>
      </w:r>
      <w:proofErr w:type="gramEnd"/>
      <w:r w:rsidRPr="00742518">
        <w:rPr>
          <w:rFonts w:ascii="Arial" w:hAnsi="Arial" w:cs="Arial"/>
          <w:b w:val="0"/>
          <w:sz w:val="22"/>
          <w:szCs w:val="22"/>
        </w:rPr>
        <w:t xml:space="preserve"> muestra. Variables y datos. Intervalo de clase. Distribución de frecuencias.  El cuadro estadístico. Rango. Intervalo: tamaño, límites reales y </w:t>
      </w:r>
      <w:r w:rsidRPr="00742518">
        <w:rPr>
          <w:rFonts w:ascii="Arial" w:hAnsi="Arial" w:cs="Arial"/>
          <w:b w:val="0"/>
          <w:sz w:val="22"/>
          <w:szCs w:val="22"/>
        </w:rPr>
        <w:lastRenderedPageBreak/>
        <w:t xml:space="preserve">numéricos, índice de clase. Escalas de medición: nominal, ordinal, </w:t>
      </w:r>
      <w:proofErr w:type="spellStart"/>
      <w:r w:rsidRPr="00742518">
        <w:rPr>
          <w:rFonts w:ascii="Arial" w:hAnsi="Arial" w:cs="Arial"/>
          <w:b w:val="0"/>
          <w:sz w:val="22"/>
          <w:szCs w:val="22"/>
        </w:rPr>
        <w:t>intervalar</w:t>
      </w:r>
      <w:proofErr w:type="spellEnd"/>
      <w:r w:rsidRPr="00742518">
        <w:rPr>
          <w:rFonts w:ascii="Arial" w:hAnsi="Arial" w:cs="Arial"/>
          <w:b w:val="0"/>
          <w:sz w:val="22"/>
          <w:szCs w:val="22"/>
        </w:rPr>
        <w:t xml:space="preserve"> y racional. Validez y confiabilidad.</w:t>
      </w:r>
    </w:p>
    <w:p w:rsidR="00742518" w:rsidRPr="00742518" w:rsidRDefault="00742518" w:rsidP="00742518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742518" w:rsidRPr="00742518" w:rsidRDefault="00742518" w:rsidP="00742518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>Unidad 2</w:t>
      </w:r>
      <w:r w:rsidRPr="00742518">
        <w:rPr>
          <w:rFonts w:ascii="Arial" w:hAnsi="Arial" w:cs="Arial"/>
          <w:sz w:val="22"/>
          <w:szCs w:val="22"/>
        </w:rPr>
        <w:t xml:space="preserve">. </w:t>
      </w:r>
      <w:r w:rsidRPr="00742518">
        <w:rPr>
          <w:rFonts w:ascii="Arial" w:hAnsi="Arial" w:cs="Arial"/>
          <w:b/>
          <w:snapToGrid w:val="0"/>
          <w:sz w:val="22"/>
          <w:szCs w:val="22"/>
        </w:rPr>
        <w:t xml:space="preserve">Representación  gráfica. </w:t>
      </w:r>
      <w:r w:rsidRPr="00742518">
        <w:rPr>
          <w:rFonts w:ascii="Arial" w:hAnsi="Arial" w:cs="Arial"/>
          <w:snapToGrid w:val="0"/>
          <w:sz w:val="22"/>
          <w:szCs w:val="22"/>
        </w:rPr>
        <w:t>Gráfico de barras, sectorial, lineal. Diagrama de dispersión. Histograma. Polígono de frecuencia. Gráfico de correlación.</w:t>
      </w: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>Unidad 3</w:t>
      </w:r>
      <w:r w:rsidRPr="00742518">
        <w:rPr>
          <w:rFonts w:ascii="Arial" w:hAnsi="Arial" w:cs="Arial"/>
          <w:sz w:val="22"/>
          <w:szCs w:val="22"/>
        </w:rPr>
        <w:t xml:space="preserve">. </w:t>
      </w:r>
      <w:r w:rsidRPr="00742518">
        <w:rPr>
          <w:rFonts w:ascii="Arial" w:hAnsi="Arial" w:cs="Arial"/>
          <w:b/>
          <w:sz w:val="22"/>
          <w:szCs w:val="22"/>
        </w:rPr>
        <w:t>Estadística descriptiva.</w:t>
      </w:r>
      <w:r w:rsidRPr="00742518">
        <w:rPr>
          <w:rFonts w:ascii="Arial" w:hAnsi="Arial" w:cs="Arial"/>
          <w:sz w:val="22"/>
          <w:szCs w:val="22"/>
        </w:rPr>
        <w:t xml:space="preserve"> Población y muestra. Definiciones. Medidas de tendencia central.  Medidas de dispersión.  Probabilidad: clásica y experimental.  Eventos compuestos: independientes y dependientes. Eventos parcial y mutuamente excluyentes. Cálculo de probabilidades de valores distribuidos normalmente. </w:t>
      </w:r>
    </w:p>
    <w:p w:rsidR="00742518" w:rsidRPr="00742518" w:rsidRDefault="00742518" w:rsidP="0074251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 xml:space="preserve">Unidad </w:t>
      </w:r>
      <w:smartTag w:uri="urn:schemas-microsoft-com:office:smarttags" w:element="metricconverter">
        <w:smartTagPr>
          <w:attr w:name="ProductID" w:val="4. L"/>
        </w:smartTagPr>
        <w:r w:rsidRPr="00742518">
          <w:rPr>
            <w:rFonts w:ascii="Arial" w:hAnsi="Arial" w:cs="Arial"/>
            <w:b/>
            <w:sz w:val="22"/>
            <w:szCs w:val="22"/>
          </w:rPr>
          <w:t>4. L</w:t>
        </w:r>
      </w:smartTag>
      <w:r w:rsidRPr="00742518">
        <w:rPr>
          <w:rFonts w:ascii="Arial" w:hAnsi="Arial" w:cs="Arial"/>
          <w:b/>
          <w:sz w:val="22"/>
          <w:szCs w:val="22"/>
        </w:rPr>
        <w:t xml:space="preserve"> significación estadística. </w:t>
      </w:r>
      <w:r w:rsidRPr="00742518">
        <w:rPr>
          <w:rFonts w:ascii="Arial" w:hAnsi="Arial" w:cs="Arial"/>
          <w:sz w:val="22"/>
          <w:szCs w:val="22"/>
        </w:rPr>
        <w:t xml:space="preserve">Hipótesis: hipótesis de nulidad y alternativa. Pruebas de significación Z y t, niveles de significación. Aplicación de la estadística en la interpretación de los trabajos científicos.  </w:t>
      </w:r>
    </w:p>
    <w:p w:rsidR="00742518" w:rsidRPr="00742518" w:rsidRDefault="00742518" w:rsidP="0074251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>Unidad 5</w:t>
      </w:r>
      <w:r w:rsidRPr="00742518">
        <w:rPr>
          <w:rFonts w:ascii="Arial" w:hAnsi="Arial" w:cs="Arial"/>
          <w:sz w:val="22"/>
          <w:szCs w:val="22"/>
        </w:rPr>
        <w:t xml:space="preserve">. </w:t>
      </w:r>
      <w:r w:rsidRPr="00742518">
        <w:rPr>
          <w:rFonts w:ascii="Arial" w:hAnsi="Arial" w:cs="Arial"/>
          <w:b/>
          <w:sz w:val="22"/>
          <w:szCs w:val="22"/>
        </w:rPr>
        <w:t>Estadística aplicada: en salud pública y en hemoterapia.</w:t>
      </w:r>
      <w:r w:rsidRPr="00742518">
        <w:rPr>
          <w:rFonts w:ascii="Arial" w:hAnsi="Arial" w:cs="Arial"/>
          <w:sz w:val="22"/>
          <w:szCs w:val="22"/>
        </w:rPr>
        <w:t xml:space="preserve"> Indicadores utilizados en todos los procesos de la hemoterapia. Su importancia. Epidemiología. Definición. Medición de </w:t>
      </w:r>
      <w:smartTag w:uri="urn:schemas-microsoft-com:office:smarttags" w:element="PersonName">
        <w:smartTagPr>
          <w:attr w:name="ProductID" w:val="la Salud"/>
        </w:smartTagPr>
        <w:r w:rsidRPr="00742518">
          <w:rPr>
            <w:rFonts w:ascii="Arial" w:hAnsi="Arial" w:cs="Arial"/>
            <w:sz w:val="22"/>
            <w:szCs w:val="22"/>
          </w:rPr>
          <w:t>la Salud</w:t>
        </w:r>
      </w:smartTag>
      <w:r w:rsidRPr="00742518">
        <w:rPr>
          <w:rFonts w:ascii="Arial" w:hAnsi="Arial" w:cs="Arial"/>
          <w:sz w:val="22"/>
          <w:szCs w:val="22"/>
        </w:rPr>
        <w:t xml:space="preserve"> y </w:t>
      </w:r>
      <w:smartTag w:uri="urn:schemas-microsoft-com:office:smarttags" w:element="PersonName">
        <w:smartTagPr>
          <w:attr w:name="ProductID" w:val="la Enfermedad. Tipos"/>
        </w:smartTagPr>
        <w:r w:rsidRPr="00742518">
          <w:rPr>
            <w:rFonts w:ascii="Arial" w:hAnsi="Arial" w:cs="Arial"/>
            <w:sz w:val="22"/>
            <w:szCs w:val="22"/>
          </w:rPr>
          <w:t>la Enfermedad. Tipos</w:t>
        </w:r>
      </w:smartTag>
      <w:r w:rsidRPr="00742518">
        <w:rPr>
          <w:rFonts w:ascii="Arial" w:hAnsi="Arial" w:cs="Arial"/>
          <w:sz w:val="22"/>
          <w:szCs w:val="22"/>
        </w:rPr>
        <w:t xml:space="preserve"> de estudios. Causalidad. Prevención. </w:t>
      </w: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>Unidad 6. Epidemiología de las enfermedades transmisibles:</w:t>
      </w:r>
      <w:r w:rsidRPr="00742518">
        <w:rPr>
          <w:rFonts w:ascii="Arial" w:hAnsi="Arial" w:cs="Arial"/>
          <w:sz w:val="22"/>
          <w:szCs w:val="22"/>
        </w:rPr>
        <w:t xml:space="preserve"> ambiental y laboral. Su utilización para la planificación y evaluación de los servicios de salud y políticas sanitarias.</w:t>
      </w: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sz w:val="22"/>
          <w:szCs w:val="22"/>
        </w:rPr>
        <w:t>Elaboración del perfil epidemiológico comunitario (local y regional). Usos de la epidemiología: tasas, incidencia, prevalencia. Gráficos, tablas, curvas.</w:t>
      </w: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>Unidad 7. Principios básicos de la metodologíade la investigación científica</w:t>
      </w:r>
      <w:r w:rsidRPr="00742518">
        <w:rPr>
          <w:rFonts w:ascii="Arial" w:hAnsi="Arial" w:cs="Arial"/>
          <w:sz w:val="22"/>
          <w:szCs w:val="22"/>
        </w:rPr>
        <w:t xml:space="preserve">. Planteo del problema. Tipos de estudios: exploratorios, descriptivos, </w:t>
      </w:r>
      <w:proofErr w:type="spellStart"/>
      <w:r w:rsidRPr="00742518">
        <w:rPr>
          <w:rFonts w:ascii="Arial" w:hAnsi="Arial" w:cs="Arial"/>
          <w:sz w:val="22"/>
          <w:szCs w:val="22"/>
        </w:rPr>
        <w:t>correlacionales</w:t>
      </w:r>
      <w:proofErr w:type="spellEnd"/>
      <w:r w:rsidRPr="00742518">
        <w:rPr>
          <w:rFonts w:ascii="Arial" w:hAnsi="Arial" w:cs="Arial"/>
          <w:sz w:val="22"/>
          <w:szCs w:val="22"/>
        </w:rPr>
        <w:t>, experimentales. Hipótesis: tipos y nexos entre las variables. Población y muestra.</w:t>
      </w: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</w:p>
    <w:p w:rsidR="00742518" w:rsidRPr="00742518" w:rsidRDefault="00742518" w:rsidP="00742518">
      <w:pPr>
        <w:spacing w:line="276" w:lineRule="auto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 xml:space="preserve">Unidad 8. Diseños de investigación. </w:t>
      </w:r>
      <w:r w:rsidRPr="00742518">
        <w:rPr>
          <w:rFonts w:ascii="Arial" w:hAnsi="Arial" w:cs="Arial"/>
          <w:sz w:val="22"/>
          <w:szCs w:val="22"/>
        </w:rPr>
        <w:t xml:space="preserve">Concepto y estructura. Diseños experimentales: experimento puro, pre-experimento y cuasi-experimento. Diseños no experimentales: </w:t>
      </w:r>
      <w:proofErr w:type="spellStart"/>
      <w:r w:rsidRPr="00742518">
        <w:rPr>
          <w:rFonts w:ascii="Arial" w:hAnsi="Arial" w:cs="Arial"/>
          <w:sz w:val="22"/>
          <w:szCs w:val="22"/>
        </w:rPr>
        <w:t>transeccionales</w:t>
      </w:r>
      <w:proofErr w:type="spellEnd"/>
      <w:r w:rsidRPr="00742518">
        <w:rPr>
          <w:rFonts w:ascii="Arial" w:hAnsi="Arial" w:cs="Arial"/>
          <w:sz w:val="22"/>
          <w:szCs w:val="22"/>
        </w:rPr>
        <w:t xml:space="preserve"> y longitudinales. </w:t>
      </w:r>
    </w:p>
    <w:p w:rsidR="00742518" w:rsidRDefault="00742518" w:rsidP="00742518">
      <w:pPr>
        <w:suppressAutoHyphens/>
        <w:ind w:left="720"/>
        <w:jc w:val="both"/>
        <w:rPr>
          <w:i/>
        </w:rPr>
      </w:pPr>
      <w:r>
        <w:rPr>
          <w:i/>
        </w:rPr>
        <w:tab/>
      </w:r>
    </w:p>
    <w:p w:rsidR="00DA25AD" w:rsidRDefault="00DA25AD" w:rsidP="00181451">
      <w:pPr>
        <w:pStyle w:val="Sinespaciado"/>
        <w:jc w:val="both"/>
        <w:rPr>
          <w:rFonts w:ascii="Arial" w:hAnsi="Arial" w:cs="Arial"/>
          <w:lang w:val="es-ES_tradnl"/>
        </w:rPr>
      </w:pPr>
    </w:p>
    <w:p w:rsidR="00DA25AD" w:rsidRDefault="00DA25AD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  <w:r w:rsidRPr="00F3293F">
        <w:rPr>
          <w:rFonts w:ascii="Arial" w:hAnsi="Arial" w:cs="Arial"/>
          <w:b/>
          <w:u w:val="single"/>
          <w:lang w:val="es-ES_tradnl"/>
        </w:rPr>
        <w:t xml:space="preserve">Carga Horaria: </w:t>
      </w:r>
    </w:p>
    <w:p w:rsidR="00721484" w:rsidRPr="00F3293F" w:rsidRDefault="00721484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583D10" w:rsidRPr="00FF410B" w:rsidRDefault="00DA25AD" w:rsidP="002A3AEF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b/>
          <w:u w:val="single"/>
          <w:lang w:val="es-ES_tradnl"/>
        </w:rPr>
      </w:pPr>
      <w:r w:rsidRPr="00FF410B">
        <w:rPr>
          <w:rFonts w:ascii="Arial" w:hAnsi="Arial" w:cs="Arial"/>
          <w:lang w:val="es-ES_tradnl"/>
        </w:rPr>
        <w:t xml:space="preserve">Horas </w:t>
      </w:r>
      <w:r w:rsidR="00742518">
        <w:rPr>
          <w:rFonts w:ascii="Arial" w:hAnsi="Arial" w:cs="Arial"/>
          <w:lang w:val="es-ES_tradnl"/>
        </w:rPr>
        <w:t xml:space="preserve"> 80</w:t>
      </w:r>
    </w:p>
    <w:p w:rsidR="00583D10" w:rsidRDefault="00583D10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Default="00DA25AD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  <w:r w:rsidRPr="00F3293F">
        <w:rPr>
          <w:rFonts w:ascii="Arial" w:hAnsi="Arial" w:cs="Arial"/>
          <w:b/>
          <w:u w:val="single"/>
          <w:lang w:val="es-ES_tradnl"/>
        </w:rPr>
        <w:t>Evaluación:</w:t>
      </w:r>
    </w:p>
    <w:p w:rsidR="00742518" w:rsidRDefault="00742518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742518" w:rsidRPr="00742518" w:rsidRDefault="00742518" w:rsidP="00742518">
      <w:pPr>
        <w:suppressAutoHyphens/>
        <w:spacing w:line="276" w:lineRule="auto"/>
        <w:jc w:val="both"/>
        <w:rPr>
          <w:rFonts w:ascii="Arial" w:hAnsi="Arial" w:cs="Arial"/>
          <w:sz w:val="22"/>
        </w:rPr>
      </w:pPr>
      <w:r w:rsidRPr="00742518">
        <w:rPr>
          <w:rFonts w:ascii="Arial" w:hAnsi="Arial" w:cs="Arial"/>
          <w:sz w:val="22"/>
          <w:lang w:val="es-MX"/>
        </w:rPr>
        <w:t xml:space="preserve">Modalidad de los exámenes: </w:t>
      </w:r>
      <w:r w:rsidRPr="00742518">
        <w:rPr>
          <w:rFonts w:ascii="Arial" w:hAnsi="Arial" w:cs="Arial"/>
          <w:sz w:val="22"/>
        </w:rPr>
        <w:t xml:space="preserve">opción múltiple, </w:t>
      </w:r>
      <w:proofErr w:type="spellStart"/>
      <w:r w:rsidRPr="00742518">
        <w:rPr>
          <w:rFonts w:ascii="Arial" w:hAnsi="Arial" w:cs="Arial"/>
          <w:sz w:val="22"/>
        </w:rPr>
        <w:t>semiestructurado</w:t>
      </w:r>
      <w:proofErr w:type="spellEnd"/>
      <w:r w:rsidRPr="00742518">
        <w:rPr>
          <w:rFonts w:ascii="Arial" w:hAnsi="Arial" w:cs="Arial"/>
          <w:sz w:val="22"/>
        </w:rPr>
        <w:t>, resolución de ejercicios.</w:t>
      </w:r>
    </w:p>
    <w:p w:rsidR="00742518" w:rsidRPr="00742518" w:rsidRDefault="00742518" w:rsidP="00742518">
      <w:pPr>
        <w:suppressAutoHyphens/>
        <w:spacing w:line="276" w:lineRule="auto"/>
        <w:jc w:val="both"/>
        <w:rPr>
          <w:rFonts w:ascii="Arial" w:hAnsi="Arial" w:cs="Arial"/>
          <w:sz w:val="22"/>
        </w:rPr>
      </w:pPr>
    </w:p>
    <w:p w:rsidR="00742518" w:rsidRPr="00742518" w:rsidRDefault="00742518" w:rsidP="00742518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</w:rPr>
      </w:pPr>
      <w:r w:rsidRPr="00742518">
        <w:rPr>
          <w:rFonts w:ascii="Arial" w:hAnsi="Arial" w:cs="Arial"/>
          <w:snapToGrid w:val="0"/>
          <w:sz w:val="22"/>
        </w:rPr>
        <w:t>Las evaluaciones se realizan por medio de:</w:t>
      </w:r>
    </w:p>
    <w:p w:rsidR="00742518" w:rsidRPr="00742518" w:rsidRDefault="00742518" w:rsidP="00742518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426" w:firstLine="0"/>
        <w:jc w:val="both"/>
        <w:rPr>
          <w:rFonts w:ascii="Arial" w:hAnsi="Arial" w:cs="Arial"/>
          <w:sz w:val="22"/>
          <w:lang w:val="es-MX"/>
        </w:rPr>
      </w:pPr>
      <w:r w:rsidRPr="00742518">
        <w:rPr>
          <w:rFonts w:ascii="Arial" w:hAnsi="Arial" w:cs="Arial"/>
          <w:snapToGrid w:val="0"/>
          <w:sz w:val="22"/>
        </w:rPr>
        <w:t xml:space="preserve">Un </w:t>
      </w:r>
      <w:r w:rsidR="004A57B1" w:rsidRPr="00742518">
        <w:rPr>
          <w:rFonts w:ascii="Arial" w:hAnsi="Arial" w:cs="Arial"/>
          <w:snapToGrid w:val="0"/>
          <w:sz w:val="22"/>
        </w:rPr>
        <w:t>examen</w:t>
      </w:r>
      <w:r w:rsidRPr="00742518">
        <w:rPr>
          <w:rFonts w:ascii="Arial" w:hAnsi="Arial" w:cs="Arial"/>
          <w:snapToGrid w:val="0"/>
          <w:sz w:val="22"/>
        </w:rPr>
        <w:t xml:space="preserve"> parcial (individual, escrito).</w:t>
      </w:r>
      <w:r w:rsidRPr="00742518">
        <w:rPr>
          <w:rFonts w:ascii="Arial" w:hAnsi="Arial" w:cs="Arial"/>
          <w:sz w:val="22"/>
          <w:lang w:val="es-MX"/>
        </w:rPr>
        <w:t xml:space="preserve"> Se aprueba con el 60% del examen correcto</w:t>
      </w:r>
    </w:p>
    <w:p w:rsidR="00742518" w:rsidRPr="00742518" w:rsidRDefault="00742518" w:rsidP="00742518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0" w:firstLine="0"/>
        <w:jc w:val="both"/>
        <w:rPr>
          <w:rFonts w:ascii="Arial" w:hAnsi="Arial" w:cs="Arial"/>
          <w:sz w:val="22"/>
          <w:lang w:val="es-MX"/>
        </w:rPr>
      </w:pPr>
      <w:r w:rsidRPr="00742518">
        <w:rPr>
          <w:rFonts w:ascii="Arial" w:hAnsi="Arial" w:cs="Arial"/>
          <w:snapToGrid w:val="0"/>
          <w:sz w:val="22"/>
        </w:rPr>
        <w:t xml:space="preserve">Examen Final Individual (escrito u oral).  </w:t>
      </w:r>
      <w:r w:rsidRPr="00742518">
        <w:rPr>
          <w:rFonts w:ascii="Arial" w:hAnsi="Arial" w:cs="Arial"/>
          <w:sz w:val="22"/>
          <w:lang w:val="es-MX"/>
        </w:rPr>
        <w:t xml:space="preserve">Los alumnos libres deberán además rendir un examen oral. Se aprueba con el 60% del examen correcto en cada caso. En </w:t>
      </w:r>
      <w:r w:rsidRPr="00742518">
        <w:rPr>
          <w:rFonts w:ascii="Arial" w:hAnsi="Arial" w:cs="Arial"/>
          <w:sz w:val="22"/>
          <w:lang w:val="es-MX"/>
        </w:rPr>
        <w:lastRenderedPageBreak/>
        <w:t>el caso de los alumnos libres, con una de las evaluaciones desaprobadas se desaprueba la totalidad del examen.</w:t>
      </w:r>
    </w:p>
    <w:p w:rsidR="00F3293F" w:rsidRDefault="00F3293F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721484" w:rsidRPr="00F3293F" w:rsidRDefault="00721484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Default="00DA25AD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  <w:r w:rsidRPr="00F3293F">
        <w:rPr>
          <w:rFonts w:ascii="Arial" w:hAnsi="Arial" w:cs="Arial"/>
          <w:b/>
          <w:u w:val="single"/>
          <w:lang w:val="es-ES_tradnl"/>
        </w:rPr>
        <w:t>Bibliografía:</w:t>
      </w:r>
    </w:p>
    <w:p w:rsidR="00F3293F" w:rsidRPr="00F3293F" w:rsidRDefault="00F3293F" w:rsidP="002A3AEF">
      <w:pPr>
        <w:pStyle w:val="Sinespaciado"/>
        <w:jc w:val="both"/>
        <w:rPr>
          <w:rFonts w:ascii="Arial" w:hAnsi="Arial" w:cs="Arial"/>
          <w:b/>
          <w:u w:val="single"/>
          <w:lang w:val="es-ES_tradnl"/>
        </w:rPr>
      </w:pPr>
    </w:p>
    <w:p w:rsidR="00DA25AD" w:rsidRDefault="00721484" w:rsidP="002A3AEF">
      <w:pPr>
        <w:pStyle w:val="Sinespaciad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B</w:t>
      </w:r>
      <w:r w:rsidRPr="007562F7">
        <w:rPr>
          <w:rFonts w:ascii="Arial" w:hAnsi="Arial" w:cs="Arial"/>
          <w:b/>
          <w:lang w:val="es-ES_tradnl"/>
        </w:rPr>
        <w:t>ibliografía</w:t>
      </w:r>
      <w:r w:rsidR="00DA25AD" w:rsidRPr="007562F7">
        <w:rPr>
          <w:rFonts w:ascii="Arial" w:hAnsi="Arial" w:cs="Arial"/>
          <w:b/>
          <w:lang w:val="es-ES_tradnl"/>
        </w:rPr>
        <w:t xml:space="preserve"> de lectura obligatoria</w:t>
      </w:r>
      <w:r w:rsidR="00DA25AD">
        <w:rPr>
          <w:rFonts w:ascii="Arial" w:hAnsi="Arial" w:cs="Arial"/>
          <w:b/>
          <w:lang w:val="es-ES_tradnl"/>
        </w:rPr>
        <w:t>:</w:t>
      </w:r>
    </w:p>
    <w:p w:rsidR="00742518" w:rsidRPr="00742518" w:rsidRDefault="00742518" w:rsidP="002A3AEF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742518" w:rsidRPr="00742518" w:rsidRDefault="00742518" w:rsidP="0074251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 xml:space="preserve">Dawson – Saunders B., </w:t>
      </w:r>
      <w:proofErr w:type="spellStart"/>
      <w:r w:rsidRPr="00742518">
        <w:rPr>
          <w:rFonts w:ascii="Arial" w:hAnsi="Arial" w:cs="Arial"/>
          <w:b/>
          <w:sz w:val="22"/>
          <w:szCs w:val="22"/>
        </w:rPr>
        <w:t>Trapp</w:t>
      </w:r>
      <w:proofErr w:type="spellEnd"/>
      <w:r w:rsidRPr="00742518">
        <w:rPr>
          <w:rFonts w:ascii="Arial" w:hAnsi="Arial" w:cs="Arial"/>
          <w:b/>
          <w:sz w:val="22"/>
          <w:szCs w:val="22"/>
        </w:rPr>
        <w:t xml:space="preserve"> R</w:t>
      </w:r>
      <w:r w:rsidRPr="00742518">
        <w:rPr>
          <w:rFonts w:ascii="Arial" w:hAnsi="Arial" w:cs="Arial"/>
          <w:sz w:val="22"/>
          <w:szCs w:val="22"/>
        </w:rPr>
        <w:t xml:space="preserve">., Bioestadística médica. Editorial El manual Moderno, 1993, México. Título Original. Basic and </w:t>
      </w:r>
      <w:proofErr w:type="spellStart"/>
      <w:r w:rsidRPr="00742518">
        <w:rPr>
          <w:rFonts w:ascii="Arial" w:hAnsi="Arial" w:cs="Arial"/>
          <w:sz w:val="22"/>
          <w:szCs w:val="22"/>
        </w:rPr>
        <w:t>ClinicalBioestatistics</w:t>
      </w:r>
      <w:proofErr w:type="spellEnd"/>
      <w:r w:rsidRPr="00742518">
        <w:rPr>
          <w:rFonts w:ascii="Arial" w:hAnsi="Arial" w:cs="Arial"/>
          <w:sz w:val="22"/>
          <w:szCs w:val="22"/>
        </w:rPr>
        <w:t>.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 xml:space="preserve">Silva </w:t>
      </w:r>
      <w:proofErr w:type="spellStart"/>
      <w:r w:rsidRPr="00742518">
        <w:rPr>
          <w:rFonts w:ascii="Arial" w:hAnsi="Arial" w:cs="Arial"/>
          <w:b/>
          <w:sz w:val="22"/>
          <w:szCs w:val="22"/>
        </w:rPr>
        <w:t>Aycaguer</w:t>
      </w:r>
      <w:proofErr w:type="spellEnd"/>
      <w:r w:rsidRPr="00742518">
        <w:rPr>
          <w:rFonts w:ascii="Arial" w:hAnsi="Arial" w:cs="Arial"/>
          <w:b/>
          <w:sz w:val="22"/>
          <w:szCs w:val="22"/>
        </w:rPr>
        <w:t xml:space="preserve"> Luis Carlos</w:t>
      </w:r>
      <w:r w:rsidRPr="00742518">
        <w:rPr>
          <w:rFonts w:ascii="Arial" w:hAnsi="Arial" w:cs="Arial"/>
          <w:sz w:val="22"/>
          <w:szCs w:val="22"/>
        </w:rPr>
        <w:t xml:space="preserve">, “Cultura Estadística e investigación científica en </w:t>
      </w:r>
      <w:proofErr w:type="spellStart"/>
      <w:r w:rsidRPr="00742518">
        <w:rPr>
          <w:rFonts w:ascii="Arial" w:hAnsi="Arial" w:cs="Arial"/>
          <w:sz w:val="22"/>
          <w:szCs w:val="22"/>
        </w:rPr>
        <w:t>le</w:t>
      </w:r>
      <w:proofErr w:type="spellEnd"/>
      <w:r w:rsidRPr="00742518">
        <w:rPr>
          <w:rFonts w:ascii="Arial" w:hAnsi="Arial" w:cs="Arial"/>
          <w:sz w:val="22"/>
          <w:szCs w:val="22"/>
        </w:rPr>
        <w:t xml:space="preserve"> campo de la salud: una mirada crítica”, Editor Díaz de Santos, Madrid Espala, 1997.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42518">
        <w:rPr>
          <w:rFonts w:ascii="Arial" w:hAnsi="Arial" w:cs="Arial"/>
          <w:b/>
          <w:sz w:val="22"/>
          <w:szCs w:val="22"/>
        </w:rPr>
        <w:t>Sentis</w:t>
      </w:r>
      <w:proofErr w:type="spellEnd"/>
      <w:r w:rsidRPr="00742518">
        <w:rPr>
          <w:rFonts w:ascii="Arial" w:hAnsi="Arial" w:cs="Arial"/>
          <w:b/>
          <w:sz w:val="22"/>
          <w:szCs w:val="22"/>
        </w:rPr>
        <w:t>, J.</w:t>
      </w:r>
      <w:r w:rsidRPr="00742518">
        <w:rPr>
          <w:rFonts w:ascii="Arial" w:hAnsi="Arial" w:cs="Arial"/>
          <w:sz w:val="22"/>
          <w:szCs w:val="22"/>
        </w:rPr>
        <w:t xml:space="preserve"> Manual de Bioestadística. 3ª. Ed. 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>Guía para la Asignatura de bioestadística</w:t>
      </w:r>
      <w:r w:rsidRPr="00742518">
        <w:rPr>
          <w:rFonts w:ascii="Arial" w:hAnsi="Arial" w:cs="Arial"/>
          <w:sz w:val="22"/>
          <w:szCs w:val="22"/>
        </w:rPr>
        <w:t>. Universidad de Buenos Aires. Facultad de medicina, 2016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s-AR"/>
        </w:rPr>
      </w:pPr>
      <w:proofErr w:type="spellStart"/>
      <w:r w:rsidRPr="00742518">
        <w:rPr>
          <w:rFonts w:ascii="Arial" w:hAnsi="Arial" w:cs="Arial"/>
          <w:b/>
          <w:color w:val="000000"/>
          <w:sz w:val="22"/>
          <w:szCs w:val="22"/>
          <w:lang w:eastAsia="es-AR"/>
        </w:rPr>
        <w:t>Bancroft</w:t>
      </w:r>
      <w:proofErr w:type="spellEnd"/>
      <w:r w:rsidRPr="00742518">
        <w:rPr>
          <w:rFonts w:ascii="Arial" w:hAnsi="Arial" w:cs="Arial"/>
          <w:b/>
          <w:color w:val="000000"/>
          <w:sz w:val="22"/>
          <w:szCs w:val="22"/>
          <w:lang w:eastAsia="es-AR"/>
        </w:rPr>
        <w:t>, H</w:t>
      </w:r>
      <w:r w:rsidRPr="00742518">
        <w:rPr>
          <w:rFonts w:ascii="Arial" w:hAnsi="Arial" w:cs="Arial"/>
          <w:color w:val="000000"/>
          <w:sz w:val="22"/>
          <w:szCs w:val="22"/>
          <w:lang w:eastAsia="es-AR"/>
        </w:rPr>
        <w:t xml:space="preserve">. Introducción a la Bioestadística. </w:t>
      </w:r>
      <w:proofErr w:type="spellStart"/>
      <w:r w:rsidRPr="00742518">
        <w:rPr>
          <w:rFonts w:ascii="Arial" w:hAnsi="Arial" w:cs="Arial"/>
          <w:color w:val="000000"/>
          <w:sz w:val="22"/>
          <w:szCs w:val="22"/>
          <w:lang w:eastAsia="es-AR"/>
        </w:rPr>
        <w:t>Eudeba</w:t>
      </w:r>
      <w:proofErr w:type="spellEnd"/>
      <w:r w:rsidRPr="00742518">
        <w:rPr>
          <w:rFonts w:ascii="Arial" w:hAnsi="Arial" w:cs="Arial"/>
          <w:color w:val="000000"/>
          <w:sz w:val="22"/>
          <w:szCs w:val="22"/>
          <w:lang w:eastAsia="es-AR"/>
        </w:rPr>
        <w:t>, 1979.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s-AR"/>
        </w:rPr>
      </w:pPr>
      <w:proofErr w:type="spellStart"/>
      <w:r w:rsidRPr="00742518">
        <w:rPr>
          <w:rFonts w:ascii="Arial" w:hAnsi="Arial" w:cs="Arial"/>
          <w:b/>
          <w:color w:val="000000"/>
          <w:sz w:val="22"/>
          <w:szCs w:val="22"/>
          <w:lang w:eastAsia="es-AR"/>
        </w:rPr>
        <w:t>Sade</w:t>
      </w:r>
      <w:proofErr w:type="spellEnd"/>
      <w:r w:rsidRPr="00742518">
        <w:rPr>
          <w:rFonts w:ascii="Arial" w:hAnsi="Arial" w:cs="Arial"/>
          <w:b/>
          <w:color w:val="000000"/>
          <w:sz w:val="22"/>
          <w:szCs w:val="22"/>
          <w:lang w:eastAsia="es-AR"/>
        </w:rPr>
        <w:t xml:space="preserve">, El </w:t>
      </w:r>
      <w:proofErr w:type="spellStart"/>
      <w:r w:rsidRPr="00742518">
        <w:rPr>
          <w:rFonts w:ascii="Arial" w:hAnsi="Arial" w:cs="Arial"/>
          <w:b/>
          <w:color w:val="000000"/>
          <w:sz w:val="22"/>
          <w:szCs w:val="22"/>
          <w:lang w:eastAsia="es-AR"/>
        </w:rPr>
        <w:t>Juri</w:t>
      </w:r>
      <w:proofErr w:type="spellEnd"/>
      <w:r w:rsidRPr="00742518">
        <w:rPr>
          <w:rFonts w:ascii="Arial" w:hAnsi="Arial" w:cs="Arial"/>
          <w:b/>
          <w:color w:val="000000"/>
          <w:sz w:val="22"/>
          <w:szCs w:val="22"/>
          <w:lang w:eastAsia="es-AR"/>
        </w:rPr>
        <w:t>. Edelweiss</w:t>
      </w:r>
      <w:r w:rsidRPr="00742518">
        <w:rPr>
          <w:rFonts w:ascii="Arial" w:hAnsi="Arial" w:cs="Arial"/>
          <w:color w:val="000000"/>
          <w:sz w:val="22"/>
          <w:szCs w:val="22"/>
          <w:lang w:eastAsia="es-AR"/>
        </w:rPr>
        <w:t>. CTM. Buenos Aires, 1986.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742518">
        <w:rPr>
          <w:rFonts w:ascii="Arial" w:hAnsi="Arial" w:cs="Arial"/>
          <w:b/>
          <w:snapToGrid w:val="0"/>
          <w:sz w:val="22"/>
          <w:szCs w:val="22"/>
          <w:lang w:val="en-GB"/>
        </w:rPr>
        <w:t>Beaglehole</w:t>
      </w:r>
      <w:proofErr w:type="spellEnd"/>
      <w:r w:rsidRPr="00742518">
        <w:rPr>
          <w:rFonts w:ascii="Arial" w:hAnsi="Arial" w:cs="Arial"/>
          <w:b/>
          <w:snapToGrid w:val="0"/>
          <w:sz w:val="22"/>
          <w:szCs w:val="22"/>
          <w:lang w:val="en-GB"/>
        </w:rPr>
        <w:t xml:space="preserve">, Robert, Bonita, Ruth, </w:t>
      </w:r>
      <w:proofErr w:type="spellStart"/>
      <w:r w:rsidRPr="00742518">
        <w:rPr>
          <w:rFonts w:ascii="Arial" w:hAnsi="Arial" w:cs="Arial"/>
          <w:b/>
          <w:snapToGrid w:val="0"/>
          <w:sz w:val="22"/>
          <w:szCs w:val="22"/>
          <w:lang w:val="en-GB"/>
        </w:rPr>
        <w:t>Kjellström</w:t>
      </w:r>
      <w:proofErr w:type="spellEnd"/>
      <w:r w:rsidRPr="00742518">
        <w:rPr>
          <w:rFonts w:ascii="Arial" w:hAnsi="Arial" w:cs="Arial"/>
          <w:b/>
          <w:snapToGrid w:val="0"/>
          <w:sz w:val="22"/>
          <w:szCs w:val="22"/>
          <w:lang w:val="en-GB"/>
        </w:rPr>
        <w:t xml:space="preserve">, </w:t>
      </w:r>
      <w:proofErr w:type="spellStart"/>
      <w:r w:rsidRPr="00742518">
        <w:rPr>
          <w:rFonts w:ascii="Arial" w:hAnsi="Arial" w:cs="Arial"/>
          <w:b/>
          <w:snapToGrid w:val="0"/>
          <w:sz w:val="22"/>
          <w:szCs w:val="22"/>
          <w:lang w:val="en-GB"/>
        </w:rPr>
        <w:t>Tord</w:t>
      </w:r>
      <w:proofErr w:type="spellEnd"/>
      <w:r w:rsidRPr="00742518">
        <w:rPr>
          <w:rFonts w:ascii="Arial" w:hAnsi="Arial" w:cs="Arial"/>
          <w:b/>
          <w:snapToGrid w:val="0"/>
          <w:sz w:val="22"/>
          <w:szCs w:val="22"/>
          <w:lang w:val="en-GB"/>
        </w:rPr>
        <w:t xml:space="preserve">. . </w:t>
      </w:r>
      <w:r w:rsidRPr="00742518">
        <w:rPr>
          <w:rFonts w:ascii="Arial" w:hAnsi="Arial" w:cs="Arial"/>
          <w:snapToGrid w:val="0"/>
          <w:sz w:val="22"/>
          <w:szCs w:val="22"/>
        </w:rPr>
        <w:t>Epidemiología básica. OMS: 1994.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742518">
        <w:rPr>
          <w:rFonts w:ascii="Arial" w:hAnsi="Arial" w:cs="Arial"/>
          <w:b/>
          <w:snapToGrid w:val="0"/>
          <w:sz w:val="22"/>
          <w:szCs w:val="22"/>
        </w:rPr>
        <w:t>Kisnerman</w:t>
      </w:r>
      <w:proofErr w:type="spellEnd"/>
      <w:r w:rsidRPr="00742518">
        <w:rPr>
          <w:rFonts w:ascii="Arial" w:hAnsi="Arial" w:cs="Arial"/>
          <w:b/>
          <w:snapToGrid w:val="0"/>
          <w:sz w:val="22"/>
          <w:szCs w:val="22"/>
        </w:rPr>
        <w:t xml:space="preserve">, Natalio. </w:t>
      </w:r>
      <w:r w:rsidRPr="00742518">
        <w:rPr>
          <w:rFonts w:ascii="Arial" w:hAnsi="Arial" w:cs="Arial"/>
          <w:snapToGrid w:val="0"/>
          <w:sz w:val="22"/>
          <w:szCs w:val="22"/>
        </w:rPr>
        <w:t>Salud Pública y Trabajo Social. Edición del autor. 1978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742518">
        <w:rPr>
          <w:rFonts w:ascii="Arial" w:hAnsi="Arial" w:cs="Arial"/>
          <w:b/>
          <w:snapToGrid w:val="0"/>
          <w:sz w:val="22"/>
          <w:szCs w:val="22"/>
        </w:rPr>
        <w:t>Garret</w:t>
      </w:r>
      <w:proofErr w:type="spellEnd"/>
      <w:r w:rsidRPr="00742518">
        <w:rPr>
          <w:rFonts w:ascii="Arial" w:hAnsi="Arial" w:cs="Arial"/>
          <w:b/>
          <w:snapToGrid w:val="0"/>
          <w:sz w:val="22"/>
          <w:szCs w:val="22"/>
        </w:rPr>
        <w:t>, Henry.</w:t>
      </w:r>
      <w:r w:rsidRPr="00742518">
        <w:rPr>
          <w:rFonts w:ascii="Arial" w:hAnsi="Arial" w:cs="Arial"/>
          <w:snapToGrid w:val="0"/>
          <w:sz w:val="22"/>
          <w:szCs w:val="22"/>
        </w:rPr>
        <w:t xml:space="preserve"> Estadística en psicología y educación. Paidós. Barcelona 1983.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742518">
        <w:rPr>
          <w:rFonts w:ascii="Arial" w:hAnsi="Arial" w:cs="Arial"/>
          <w:b/>
          <w:snapToGrid w:val="0"/>
          <w:sz w:val="22"/>
          <w:szCs w:val="22"/>
        </w:rPr>
        <w:t xml:space="preserve">Hernández </w:t>
      </w:r>
      <w:proofErr w:type="spellStart"/>
      <w:r w:rsidRPr="00742518">
        <w:rPr>
          <w:rFonts w:ascii="Arial" w:hAnsi="Arial" w:cs="Arial"/>
          <w:b/>
          <w:snapToGrid w:val="0"/>
          <w:sz w:val="22"/>
          <w:szCs w:val="22"/>
        </w:rPr>
        <w:t>Sampieri</w:t>
      </w:r>
      <w:proofErr w:type="spellEnd"/>
      <w:r w:rsidRPr="00742518">
        <w:rPr>
          <w:rFonts w:ascii="Arial" w:hAnsi="Arial" w:cs="Arial"/>
          <w:b/>
          <w:snapToGrid w:val="0"/>
          <w:sz w:val="22"/>
          <w:szCs w:val="22"/>
        </w:rPr>
        <w:t>, Roberto,</w:t>
      </w:r>
      <w:r w:rsidRPr="00742518">
        <w:rPr>
          <w:rFonts w:ascii="Arial" w:hAnsi="Arial" w:cs="Arial"/>
          <w:snapToGrid w:val="0"/>
          <w:sz w:val="22"/>
          <w:szCs w:val="22"/>
        </w:rPr>
        <w:t xml:space="preserve"> Fernández Collado, Carlos y Baptista Lucio, Pilar. Metodología de </w:t>
      </w:r>
      <w:smartTag w:uri="urn:schemas-microsoft-com:office:smarttags" w:element="PersonName">
        <w:smartTagPr>
          <w:attr w:name="ProductID" w:val="la Investigaci￳n.  Mc"/>
        </w:smartTagPr>
        <w:r w:rsidRPr="00742518">
          <w:rPr>
            <w:rFonts w:ascii="Arial" w:hAnsi="Arial" w:cs="Arial"/>
            <w:snapToGrid w:val="0"/>
            <w:sz w:val="22"/>
            <w:szCs w:val="22"/>
          </w:rPr>
          <w:t>la Investigación.  Mc</w:t>
        </w:r>
      </w:smartTag>
      <w:r w:rsidRPr="00742518">
        <w:rPr>
          <w:rFonts w:ascii="Arial" w:hAnsi="Arial" w:cs="Arial"/>
          <w:snapToGrid w:val="0"/>
          <w:sz w:val="22"/>
          <w:szCs w:val="22"/>
        </w:rPr>
        <w:t xml:space="preserve"> Graw Hill. México 1998.  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42518">
        <w:rPr>
          <w:rFonts w:ascii="Arial" w:hAnsi="Arial" w:cs="Arial"/>
          <w:b/>
          <w:sz w:val="22"/>
          <w:szCs w:val="22"/>
        </w:rPr>
        <w:t>Lemus, Jorge.</w:t>
      </w:r>
      <w:r w:rsidRPr="00742518">
        <w:rPr>
          <w:rFonts w:ascii="Arial" w:hAnsi="Arial" w:cs="Arial"/>
          <w:sz w:val="22"/>
          <w:szCs w:val="22"/>
        </w:rPr>
        <w:t xml:space="preserve"> Salud Pública, Epidemiología y Atención Primaria de </w:t>
      </w:r>
      <w:smartTag w:uri="urn:schemas-microsoft-com:office:smarttags" w:element="PersonName">
        <w:smartTagPr>
          <w:attr w:name="ProductID" w:val="la Salud. CIDES."/>
        </w:smartTagPr>
        <w:r w:rsidRPr="00742518">
          <w:rPr>
            <w:rFonts w:ascii="Arial" w:hAnsi="Arial" w:cs="Arial"/>
            <w:sz w:val="22"/>
            <w:szCs w:val="22"/>
          </w:rPr>
          <w:t>la Salud. CIDES.</w:t>
        </w:r>
      </w:smartTag>
      <w:r w:rsidRPr="00742518">
        <w:rPr>
          <w:rFonts w:ascii="Arial" w:hAnsi="Arial" w:cs="Arial"/>
          <w:sz w:val="22"/>
          <w:szCs w:val="22"/>
        </w:rPr>
        <w:t xml:space="preserve"> 2005.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42518">
        <w:rPr>
          <w:rFonts w:ascii="Arial" w:hAnsi="Arial" w:cs="Arial"/>
          <w:b/>
          <w:sz w:val="22"/>
          <w:szCs w:val="22"/>
        </w:rPr>
        <w:t>Mazzáfero</w:t>
      </w:r>
      <w:proofErr w:type="spellEnd"/>
      <w:r w:rsidRPr="00742518">
        <w:rPr>
          <w:rFonts w:ascii="Arial" w:hAnsi="Arial" w:cs="Arial"/>
          <w:b/>
          <w:sz w:val="22"/>
          <w:szCs w:val="22"/>
        </w:rPr>
        <w:t>, Vicente.</w:t>
      </w:r>
      <w:r w:rsidRPr="00742518">
        <w:rPr>
          <w:rFonts w:ascii="Arial" w:hAnsi="Arial" w:cs="Arial"/>
          <w:sz w:val="22"/>
          <w:szCs w:val="22"/>
        </w:rPr>
        <w:t xml:space="preserve"> Medicina y Salud Pública. EUDEBA. 1999.</w:t>
      </w:r>
    </w:p>
    <w:p w:rsidR="00742518" w:rsidRPr="00742518" w:rsidRDefault="00742518" w:rsidP="0074251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42518">
        <w:rPr>
          <w:rFonts w:ascii="Arial" w:hAnsi="Arial" w:cs="Arial"/>
          <w:b/>
          <w:sz w:val="22"/>
          <w:szCs w:val="22"/>
        </w:rPr>
        <w:t>Polgar</w:t>
      </w:r>
      <w:proofErr w:type="spellEnd"/>
      <w:r w:rsidRPr="00742518">
        <w:rPr>
          <w:rFonts w:ascii="Arial" w:hAnsi="Arial" w:cs="Arial"/>
          <w:b/>
          <w:sz w:val="22"/>
          <w:szCs w:val="22"/>
        </w:rPr>
        <w:t xml:space="preserve">, Stephen-Thomas, </w:t>
      </w:r>
      <w:proofErr w:type="spellStart"/>
      <w:r w:rsidRPr="00742518">
        <w:rPr>
          <w:rFonts w:ascii="Arial" w:hAnsi="Arial" w:cs="Arial"/>
          <w:b/>
          <w:sz w:val="22"/>
          <w:szCs w:val="22"/>
        </w:rPr>
        <w:t>Shane</w:t>
      </w:r>
      <w:proofErr w:type="spellEnd"/>
      <w:r w:rsidRPr="00742518">
        <w:rPr>
          <w:rFonts w:ascii="Arial" w:hAnsi="Arial" w:cs="Arial"/>
          <w:b/>
          <w:sz w:val="22"/>
          <w:szCs w:val="22"/>
        </w:rPr>
        <w:t>.</w:t>
      </w:r>
      <w:r w:rsidRPr="00742518">
        <w:rPr>
          <w:rFonts w:ascii="Arial" w:hAnsi="Arial" w:cs="Arial"/>
          <w:sz w:val="22"/>
          <w:szCs w:val="22"/>
        </w:rPr>
        <w:t xml:space="preserve"> Introducción a </w:t>
      </w:r>
      <w:smartTag w:uri="urn:schemas-microsoft-com:office:smarttags" w:element="PersonName">
        <w:smartTagPr>
          <w:attr w:name="ProductID" w:val="la Investigaci￳n"/>
        </w:smartTagPr>
        <w:r w:rsidRPr="00742518">
          <w:rPr>
            <w:rFonts w:ascii="Arial" w:hAnsi="Arial" w:cs="Arial"/>
            <w:sz w:val="22"/>
            <w:szCs w:val="22"/>
          </w:rPr>
          <w:t>la Investigación</w:t>
        </w:r>
      </w:smartTag>
      <w:r w:rsidRPr="00742518">
        <w:rPr>
          <w:rFonts w:ascii="Arial" w:hAnsi="Arial" w:cs="Arial"/>
          <w:sz w:val="22"/>
          <w:szCs w:val="22"/>
        </w:rPr>
        <w:t xml:space="preserve"> en Ciencias de la Salud. </w:t>
      </w:r>
      <w:proofErr w:type="spellStart"/>
      <w:r w:rsidRPr="00742518">
        <w:rPr>
          <w:rFonts w:ascii="Arial" w:hAnsi="Arial" w:cs="Arial"/>
          <w:sz w:val="22"/>
          <w:szCs w:val="22"/>
        </w:rPr>
        <w:t>Ed.ChurchillLivingstone</w:t>
      </w:r>
      <w:proofErr w:type="spellEnd"/>
      <w:r w:rsidRPr="00742518">
        <w:rPr>
          <w:rFonts w:ascii="Arial" w:hAnsi="Arial" w:cs="Arial"/>
          <w:sz w:val="22"/>
          <w:szCs w:val="22"/>
        </w:rPr>
        <w:t xml:space="preserve">. </w:t>
      </w:r>
      <w:r w:rsidRPr="00742518">
        <w:rPr>
          <w:rFonts w:ascii="Arial" w:hAnsi="Arial" w:cs="Arial"/>
          <w:sz w:val="22"/>
          <w:szCs w:val="22"/>
          <w:lang w:val="en-GB"/>
        </w:rPr>
        <w:t xml:space="preserve">Madrid - </w:t>
      </w:r>
      <w:proofErr w:type="spellStart"/>
      <w:r w:rsidRPr="00742518">
        <w:rPr>
          <w:rFonts w:ascii="Arial" w:hAnsi="Arial" w:cs="Arial"/>
          <w:sz w:val="22"/>
          <w:szCs w:val="22"/>
          <w:lang w:val="en-GB"/>
        </w:rPr>
        <w:t>España</w:t>
      </w:r>
      <w:proofErr w:type="spellEnd"/>
      <w:r w:rsidRPr="00742518">
        <w:rPr>
          <w:rFonts w:ascii="Arial" w:hAnsi="Arial" w:cs="Arial"/>
          <w:sz w:val="22"/>
          <w:szCs w:val="22"/>
          <w:lang w:val="en-GB"/>
        </w:rPr>
        <w:t>. 1993.</w:t>
      </w:r>
    </w:p>
    <w:p w:rsidR="00742518" w:rsidRPr="00742518" w:rsidRDefault="00742518" w:rsidP="00742518">
      <w:pPr>
        <w:pStyle w:val="Prrafodelista"/>
        <w:widowControl w:val="0"/>
        <w:numPr>
          <w:ilvl w:val="0"/>
          <w:numId w:val="12"/>
        </w:num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742518">
        <w:rPr>
          <w:rFonts w:ascii="Arial" w:hAnsi="Arial" w:cs="Arial"/>
          <w:b/>
          <w:snapToGrid w:val="0"/>
          <w:sz w:val="22"/>
          <w:szCs w:val="22"/>
        </w:rPr>
        <w:t>Vaccari</w:t>
      </w:r>
      <w:proofErr w:type="spellEnd"/>
      <w:r w:rsidRPr="00742518">
        <w:rPr>
          <w:rFonts w:ascii="Arial" w:hAnsi="Arial" w:cs="Arial"/>
          <w:b/>
          <w:snapToGrid w:val="0"/>
          <w:sz w:val="22"/>
          <w:szCs w:val="22"/>
        </w:rPr>
        <w:t>, M. Elena.</w:t>
      </w:r>
      <w:r w:rsidRPr="00742518">
        <w:rPr>
          <w:rFonts w:ascii="Arial" w:hAnsi="Arial" w:cs="Arial"/>
          <w:snapToGrid w:val="0"/>
          <w:sz w:val="22"/>
          <w:szCs w:val="22"/>
        </w:rPr>
        <w:t xml:space="preserve"> Guía de Trabajos Prácticos de Metodología y Estadística. CEF. UBA. 2009</w:t>
      </w:r>
    </w:p>
    <w:p w:rsidR="00DA25AD" w:rsidRDefault="00DA25AD" w:rsidP="00742518">
      <w:pPr>
        <w:pStyle w:val="Normal1"/>
        <w:ind w:left="720"/>
        <w:rPr>
          <w:b/>
        </w:rPr>
      </w:pPr>
    </w:p>
    <w:p w:rsidR="00721484" w:rsidRDefault="00721484" w:rsidP="006C69B4">
      <w:pPr>
        <w:pStyle w:val="Sinespaciado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721484" w:rsidSect="00ED5D1E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EB8" w:rsidRDefault="008D1EB8" w:rsidP="0004580F">
      <w:r>
        <w:separator/>
      </w:r>
    </w:p>
  </w:endnote>
  <w:endnote w:type="continuationSeparator" w:id="1">
    <w:p w:rsidR="008D1EB8" w:rsidRDefault="008D1EB8" w:rsidP="00045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EB8" w:rsidRDefault="008D1EB8" w:rsidP="0004580F">
      <w:r>
        <w:separator/>
      </w:r>
    </w:p>
  </w:footnote>
  <w:footnote w:type="continuationSeparator" w:id="1">
    <w:p w:rsidR="008D1EB8" w:rsidRDefault="008D1EB8" w:rsidP="00045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0F" w:rsidRDefault="002E410F">
    <w:pPr>
      <w:pStyle w:val="Encabezado"/>
    </w:pPr>
    <w:r w:rsidRPr="002E410F">
      <w:rPr>
        <w:noProof/>
        <w:lang w:eastAsia="es-AR"/>
      </w:rPr>
      <w:drawing>
        <wp:inline distT="0" distB="0" distL="0" distR="0">
          <wp:extent cx="5400040" cy="1373992"/>
          <wp:effectExtent l="19050" t="0" r="0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3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4F2"/>
    <w:multiLevelType w:val="hybridMultilevel"/>
    <w:tmpl w:val="B2B41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860"/>
    <w:multiLevelType w:val="hybridMultilevel"/>
    <w:tmpl w:val="E880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E76"/>
    <w:multiLevelType w:val="hybridMultilevel"/>
    <w:tmpl w:val="CB041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C3D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5C390E"/>
    <w:multiLevelType w:val="hybridMultilevel"/>
    <w:tmpl w:val="532057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3872A2"/>
    <w:multiLevelType w:val="hybridMultilevel"/>
    <w:tmpl w:val="571E88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606CC6"/>
    <w:multiLevelType w:val="hybridMultilevel"/>
    <w:tmpl w:val="5BA09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C2FBE"/>
    <w:multiLevelType w:val="hybridMultilevel"/>
    <w:tmpl w:val="C024B9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27E98"/>
    <w:multiLevelType w:val="hybridMultilevel"/>
    <w:tmpl w:val="CB6A4B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05FBC"/>
    <w:multiLevelType w:val="hybridMultilevel"/>
    <w:tmpl w:val="A8460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B225B"/>
    <w:multiLevelType w:val="hybridMultilevel"/>
    <w:tmpl w:val="887EF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9204D"/>
    <w:multiLevelType w:val="hybridMultilevel"/>
    <w:tmpl w:val="D3A60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A7C9E"/>
    <w:multiLevelType w:val="hybridMultilevel"/>
    <w:tmpl w:val="AEF0B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12345A"/>
    <w:multiLevelType w:val="hybridMultilevel"/>
    <w:tmpl w:val="5AAE25F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C960B9"/>
    <w:multiLevelType w:val="hybridMultilevel"/>
    <w:tmpl w:val="A904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14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F08BF"/>
    <w:rsid w:val="00024F68"/>
    <w:rsid w:val="00032510"/>
    <w:rsid w:val="00044975"/>
    <w:rsid w:val="0004580F"/>
    <w:rsid w:val="00045B3B"/>
    <w:rsid w:val="00076057"/>
    <w:rsid w:val="000B583D"/>
    <w:rsid w:val="000B7884"/>
    <w:rsid w:val="000E4E71"/>
    <w:rsid w:val="000F3622"/>
    <w:rsid w:val="0011221A"/>
    <w:rsid w:val="001221AE"/>
    <w:rsid w:val="00181451"/>
    <w:rsid w:val="001B1E40"/>
    <w:rsid w:val="001B2873"/>
    <w:rsid w:val="001B35C9"/>
    <w:rsid w:val="001C44FE"/>
    <w:rsid w:val="001D3032"/>
    <w:rsid w:val="002008CB"/>
    <w:rsid w:val="00216036"/>
    <w:rsid w:val="002846BD"/>
    <w:rsid w:val="002A3AEF"/>
    <w:rsid w:val="002C69FF"/>
    <w:rsid w:val="002C761C"/>
    <w:rsid w:val="002D0BBB"/>
    <w:rsid w:val="002E410F"/>
    <w:rsid w:val="002F1937"/>
    <w:rsid w:val="00300B26"/>
    <w:rsid w:val="00311159"/>
    <w:rsid w:val="00370F02"/>
    <w:rsid w:val="003735AB"/>
    <w:rsid w:val="0038116E"/>
    <w:rsid w:val="003938C5"/>
    <w:rsid w:val="003B0956"/>
    <w:rsid w:val="003B20B1"/>
    <w:rsid w:val="003B340E"/>
    <w:rsid w:val="003C60EE"/>
    <w:rsid w:val="003E3718"/>
    <w:rsid w:val="004142F3"/>
    <w:rsid w:val="00421BE1"/>
    <w:rsid w:val="00422D82"/>
    <w:rsid w:val="004233EB"/>
    <w:rsid w:val="004340F4"/>
    <w:rsid w:val="0044185C"/>
    <w:rsid w:val="00457631"/>
    <w:rsid w:val="004904BF"/>
    <w:rsid w:val="004A47E0"/>
    <w:rsid w:val="004A57B1"/>
    <w:rsid w:val="004B32E8"/>
    <w:rsid w:val="004C5EF8"/>
    <w:rsid w:val="00521B33"/>
    <w:rsid w:val="00534FC5"/>
    <w:rsid w:val="00583D10"/>
    <w:rsid w:val="005D497A"/>
    <w:rsid w:val="0061012D"/>
    <w:rsid w:val="00611AED"/>
    <w:rsid w:val="00612317"/>
    <w:rsid w:val="00637594"/>
    <w:rsid w:val="00697B3C"/>
    <w:rsid w:val="00697BBE"/>
    <w:rsid w:val="006A33D9"/>
    <w:rsid w:val="006B123B"/>
    <w:rsid w:val="006B78E1"/>
    <w:rsid w:val="006C69B4"/>
    <w:rsid w:val="006D3B2F"/>
    <w:rsid w:val="006E6CE8"/>
    <w:rsid w:val="006F131A"/>
    <w:rsid w:val="00701C1D"/>
    <w:rsid w:val="00721484"/>
    <w:rsid w:val="00734662"/>
    <w:rsid w:val="00740D5C"/>
    <w:rsid w:val="00742518"/>
    <w:rsid w:val="007448B4"/>
    <w:rsid w:val="007562F7"/>
    <w:rsid w:val="007647A6"/>
    <w:rsid w:val="007654CB"/>
    <w:rsid w:val="00772BAD"/>
    <w:rsid w:val="007926A8"/>
    <w:rsid w:val="0079315F"/>
    <w:rsid w:val="00795993"/>
    <w:rsid w:val="007C01B2"/>
    <w:rsid w:val="007C7C9F"/>
    <w:rsid w:val="007E175F"/>
    <w:rsid w:val="007E3757"/>
    <w:rsid w:val="007E7511"/>
    <w:rsid w:val="00802162"/>
    <w:rsid w:val="00827EC2"/>
    <w:rsid w:val="008352D4"/>
    <w:rsid w:val="00845AE8"/>
    <w:rsid w:val="008653CE"/>
    <w:rsid w:val="00880FB3"/>
    <w:rsid w:val="00896586"/>
    <w:rsid w:val="008B0BE8"/>
    <w:rsid w:val="008C1766"/>
    <w:rsid w:val="008C3E5D"/>
    <w:rsid w:val="008D1EB8"/>
    <w:rsid w:val="008F67FF"/>
    <w:rsid w:val="00920175"/>
    <w:rsid w:val="009227FF"/>
    <w:rsid w:val="0094283B"/>
    <w:rsid w:val="00947C88"/>
    <w:rsid w:val="00957E1C"/>
    <w:rsid w:val="00986BCE"/>
    <w:rsid w:val="00994DFE"/>
    <w:rsid w:val="009A5174"/>
    <w:rsid w:val="009A68D4"/>
    <w:rsid w:val="009B224D"/>
    <w:rsid w:val="009E4DC3"/>
    <w:rsid w:val="009F1DB1"/>
    <w:rsid w:val="00A1075C"/>
    <w:rsid w:val="00A42A4A"/>
    <w:rsid w:val="00A679F1"/>
    <w:rsid w:val="00A909F9"/>
    <w:rsid w:val="00AA4E9E"/>
    <w:rsid w:val="00AD739E"/>
    <w:rsid w:val="00AE2499"/>
    <w:rsid w:val="00B26BF6"/>
    <w:rsid w:val="00B31C3C"/>
    <w:rsid w:val="00B421A4"/>
    <w:rsid w:val="00B441E8"/>
    <w:rsid w:val="00B4727F"/>
    <w:rsid w:val="00B67CF6"/>
    <w:rsid w:val="00B8434B"/>
    <w:rsid w:val="00B939AE"/>
    <w:rsid w:val="00BC170F"/>
    <w:rsid w:val="00BD3A46"/>
    <w:rsid w:val="00BF1AC2"/>
    <w:rsid w:val="00C12231"/>
    <w:rsid w:val="00C164B8"/>
    <w:rsid w:val="00C43CF2"/>
    <w:rsid w:val="00C442F2"/>
    <w:rsid w:val="00CB64F8"/>
    <w:rsid w:val="00CB7A1F"/>
    <w:rsid w:val="00CC06CB"/>
    <w:rsid w:val="00CC5C68"/>
    <w:rsid w:val="00CC7F8D"/>
    <w:rsid w:val="00CD56A9"/>
    <w:rsid w:val="00CE2EE0"/>
    <w:rsid w:val="00CE4008"/>
    <w:rsid w:val="00CF01D2"/>
    <w:rsid w:val="00D03DFD"/>
    <w:rsid w:val="00D07B41"/>
    <w:rsid w:val="00D259F0"/>
    <w:rsid w:val="00D27B60"/>
    <w:rsid w:val="00D50CBE"/>
    <w:rsid w:val="00D66E42"/>
    <w:rsid w:val="00D77477"/>
    <w:rsid w:val="00D83927"/>
    <w:rsid w:val="00DA25AD"/>
    <w:rsid w:val="00DA2F7A"/>
    <w:rsid w:val="00DB112B"/>
    <w:rsid w:val="00DB5DF7"/>
    <w:rsid w:val="00DE55D5"/>
    <w:rsid w:val="00DF08BF"/>
    <w:rsid w:val="00DF53D4"/>
    <w:rsid w:val="00E3520F"/>
    <w:rsid w:val="00E635E2"/>
    <w:rsid w:val="00E82C82"/>
    <w:rsid w:val="00E84D40"/>
    <w:rsid w:val="00EB7036"/>
    <w:rsid w:val="00ED5D1E"/>
    <w:rsid w:val="00EE3FD9"/>
    <w:rsid w:val="00EE5A41"/>
    <w:rsid w:val="00F3293F"/>
    <w:rsid w:val="00F37FC0"/>
    <w:rsid w:val="00F57A9D"/>
    <w:rsid w:val="00F83C92"/>
    <w:rsid w:val="00FA50CF"/>
    <w:rsid w:val="00FC49AB"/>
    <w:rsid w:val="00FE7317"/>
    <w:rsid w:val="00FF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57631"/>
    <w:rPr>
      <w:rFonts w:ascii="Times New Roman" w:eastAsia="Times New Roman" w:hAnsi="Times New Roman"/>
      <w:lang w:val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57631"/>
    <w:pPr>
      <w:keepNext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425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57631"/>
    <w:rPr>
      <w:rFonts w:ascii="Times New Roman" w:hAnsi="Times New Roman" w:cs="Times New Roman"/>
      <w:b/>
      <w:sz w:val="20"/>
      <w:szCs w:val="20"/>
      <w:lang w:val="es-AR" w:eastAsia="es-ES"/>
    </w:rPr>
  </w:style>
  <w:style w:type="paragraph" w:styleId="Sinespaciado">
    <w:name w:val="No Spacing"/>
    <w:link w:val="SinespaciadoCar"/>
    <w:uiPriority w:val="1"/>
    <w:qFormat/>
    <w:rsid w:val="00DF08BF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rsid w:val="00457631"/>
    <w:pPr>
      <w:jc w:val="both"/>
    </w:pPr>
    <w:rPr>
      <w:sz w:val="28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57631"/>
    <w:rPr>
      <w:rFonts w:ascii="Times New Roman" w:hAnsi="Times New Roman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458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semiHidden/>
    <w:rsid w:val="000458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table" w:styleId="Tablaconcuadrcula">
    <w:name w:val="Table Grid"/>
    <w:basedOn w:val="Tablanormal"/>
    <w:uiPriority w:val="99"/>
    <w:rsid w:val="00A107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99"/>
    <w:rsid w:val="002008C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Calendar2">
    <w:name w:val="Calendar 2"/>
    <w:uiPriority w:val="99"/>
    <w:rsid w:val="00AA4E9E"/>
    <w:pPr>
      <w:jc w:val="center"/>
    </w:pPr>
    <w:rPr>
      <w:rFonts w:eastAsia="Times New Roman"/>
      <w:sz w:val="28"/>
      <w:szCs w:val="28"/>
      <w:lang w:val="en-U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99"/>
    <w:qFormat/>
    <w:rsid w:val="00772BAD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99"/>
    <w:semiHidden/>
    <w:rsid w:val="00772BAD"/>
    <w:pPr>
      <w:spacing w:after="100" w:line="276" w:lineRule="auto"/>
      <w:ind w:left="220"/>
    </w:pPr>
    <w:rPr>
      <w:rFonts w:ascii="Calibri" w:hAnsi="Calibri"/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99"/>
    <w:semiHidden/>
    <w:rsid w:val="00772BAD"/>
    <w:pPr>
      <w:spacing w:after="1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99"/>
    <w:semiHidden/>
    <w:rsid w:val="00772BAD"/>
    <w:pPr>
      <w:spacing w:after="100" w:line="276" w:lineRule="auto"/>
      <w:ind w:left="440"/>
    </w:pPr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72B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72BAD"/>
    <w:rPr>
      <w:rFonts w:ascii="Tahoma" w:hAnsi="Tahoma" w:cs="Tahoma"/>
      <w:sz w:val="16"/>
      <w:szCs w:val="16"/>
      <w:lang w:val="es-AR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D5D1E"/>
    <w:rPr>
      <w:sz w:val="22"/>
      <w:szCs w:val="22"/>
      <w:lang w:val="es-ES" w:eastAsia="en-US" w:bidi="ar-SA"/>
    </w:rPr>
  </w:style>
  <w:style w:type="paragraph" w:customStyle="1" w:styleId="Normal1">
    <w:name w:val="Normal1"/>
    <w:rsid w:val="00CB7A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B7A1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25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2518"/>
    <w:rPr>
      <w:rFonts w:ascii="Times New Roman" w:eastAsia="Times New Roman" w:hAnsi="Times New Roman"/>
      <w:lang w:val="es-AR"/>
    </w:rPr>
  </w:style>
  <w:style w:type="paragraph" w:styleId="Saludo">
    <w:name w:val="Salutation"/>
    <w:basedOn w:val="Normal"/>
    <w:next w:val="Normal"/>
    <w:link w:val="SaludoCar"/>
    <w:rsid w:val="00742518"/>
    <w:rPr>
      <w:sz w:val="24"/>
      <w:szCs w:val="24"/>
      <w:lang w:val="es-ES"/>
    </w:rPr>
  </w:style>
  <w:style w:type="character" w:customStyle="1" w:styleId="SaludoCar">
    <w:name w:val="Saludo Car"/>
    <w:basedOn w:val="Fuentedeprrafopredeter"/>
    <w:link w:val="Saludo"/>
    <w:rsid w:val="00742518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99"/>
    <w:qFormat/>
    <w:rsid w:val="0074251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42518"/>
    <w:rPr>
      <w:rFonts w:ascii="Cambria" w:eastAsia="Times New Roman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57631"/>
    <w:rPr>
      <w:rFonts w:ascii="Times New Roman" w:eastAsia="Times New Roman" w:hAnsi="Times New Roman"/>
      <w:lang w:val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57631"/>
    <w:pPr>
      <w:keepNext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425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57631"/>
    <w:rPr>
      <w:rFonts w:ascii="Times New Roman" w:hAnsi="Times New Roman" w:cs="Times New Roman"/>
      <w:b/>
      <w:sz w:val="20"/>
      <w:szCs w:val="20"/>
      <w:lang w:val="es-AR" w:eastAsia="es-ES"/>
    </w:rPr>
  </w:style>
  <w:style w:type="paragraph" w:styleId="Sinespaciado">
    <w:name w:val="No Spacing"/>
    <w:link w:val="SinespaciadoCar"/>
    <w:uiPriority w:val="1"/>
    <w:qFormat/>
    <w:rsid w:val="00DF08BF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rsid w:val="00457631"/>
    <w:pPr>
      <w:jc w:val="both"/>
    </w:pPr>
    <w:rPr>
      <w:sz w:val="28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57631"/>
    <w:rPr>
      <w:rFonts w:ascii="Times New Roman" w:hAnsi="Times New Roman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458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semiHidden/>
    <w:rsid w:val="000458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4580F"/>
    <w:rPr>
      <w:rFonts w:ascii="Times New Roman" w:hAnsi="Times New Roman" w:cs="Times New Roman"/>
      <w:sz w:val="20"/>
      <w:szCs w:val="20"/>
      <w:lang w:val="es-AR" w:eastAsia="es-ES"/>
    </w:rPr>
  </w:style>
  <w:style w:type="table" w:styleId="Tablaconcuadrcula">
    <w:name w:val="Table Grid"/>
    <w:basedOn w:val="Tablanormal"/>
    <w:uiPriority w:val="99"/>
    <w:rsid w:val="00A107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99"/>
    <w:rsid w:val="002008CB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Calendar2">
    <w:name w:val="Calendar 2"/>
    <w:uiPriority w:val="99"/>
    <w:rsid w:val="00AA4E9E"/>
    <w:pPr>
      <w:jc w:val="center"/>
    </w:pPr>
    <w:rPr>
      <w:rFonts w:eastAsia="Times New Roman"/>
      <w:sz w:val="28"/>
      <w:szCs w:val="28"/>
      <w:lang w:val="en-U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99"/>
    <w:qFormat/>
    <w:rsid w:val="00772BAD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99"/>
    <w:semiHidden/>
    <w:rsid w:val="00772BAD"/>
    <w:pPr>
      <w:spacing w:after="100" w:line="276" w:lineRule="auto"/>
      <w:ind w:left="220"/>
    </w:pPr>
    <w:rPr>
      <w:rFonts w:ascii="Calibri" w:hAnsi="Calibri"/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99"/>
    <w:semiHidden/>
    <w:rsid w:val="00772BAD"/>
    <w:pPr>
      <w:spacing w:after="1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99"/>
    <w:semiHidden/>
    <w:rsid w:val="00772BAD"/>
    <w:pPr>
      <w:spacing w:after="100" w:line="276" w:lineRule="auto"/>
      <w:ind w:left="440"/>
    </w:pPr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72B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72BAD"/>
    <w:rPr>
      <w:rFonts w:ascii="Tahoma" w:hAnsi="Tahoma" w:cs="Tahoma"/>
      <w:sz w:val="16"/>
      <w:szCs w:val="16"/>
      <w:lang w:val="es-AR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D5D1E"/>
    <w:rPr>
      <w:sz w:val="22"/>
      <w:szCs w:val="22"/>
      <w:lang w:val="es-ES" w:eastAsia="en-US" w:bidi="ar-SA"/>
    </w:rPr>
  </w:style>
  <w:style w:type="paragraph" w:customStyle="1" w:styleId="Normal1">
    <w:name w:val="Normal1"/>
    <w:rsid w:val="00CB7A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B7A1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25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2518"/>
    <w:rPr>
      <w:rFonts w:ascii="Times New Roman" w:eastAsia="Times New Roman" w:hAnsi="Times New Roman"/>
      <w:lang w:val="es-AR"/>
    </w:rPr>
  </w:style>
  <w:style w:type="paragraph" w:styleId="Saludo">
    <w:name w:val="Salutation"/>
    <w:basedOn w:val="Normal"/>
    <w:next w:val="Normal"/>
    <w:link w:val="SaludoCar"/>
    <w:rsid w:val="00742518"/>
    <w:rPr>
      <w:sz w:val="24"/>
      <w:szCs w:val="24"/>
      <w:lang w:val="es-ES"/>
    </w:rPr>
  </w:style>
  <w:style w:type="character" w:customStyle="1" w:styleId="SaludoCar">
    <w:name w:val="Saludo Car"/>
    <w:basedOn w:val="Fuentedeprrafopredeter"/>
    <w:link w:val="Saludo"/>
    <w:rsid w:val="00742518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99"/>
    <w:qFormat/>
    <w:rsid w:val="0074251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42518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4B6E6-EC6A-411E-AAEE-1F933680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Ecocardiográfia y Doppler Cardiovascular</vt:lpstr>
    </vt:vector>
  </TitlesOfParts>
  <Company>Universidad de Buenos Aires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Ecocardiográfia y Doppler Cardiovascular</dc:title>
  <dc:subject>Carrera de Técnicos en Prácticas Cardiológicas</dc:subject>
  <dc:creator>Universidad de Buenos Aires – Facultad de Medicina</dc:creator>
  <cp:lastModifiedBy>tecnicatura1</cp:lastModifiedBy>
  <cp:revision>2</cp:revision>
  <cp:lastPrinted>2016-11-21T13:26:00Z</cp:lastPrinted>
  <dcterms:created xsi:type="dcterms:W3CDTF">2018-06-12T12:15:00Z</dcterms:created>
  <dcterms:modified xsi:type="dcterms:W3CDTF">2018-06-12T12:15:00Z</dcterms:modified>
</cp:coreProperties>
</file>