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1A" w:rsidRPr="00583D10" w:rsidRDefault="00F3293F" w:rsidP="002E410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83D10">
        <w:rPr>
          <w:rFonts w:ascii="Arial" w:hAnsi="Arial" w:cs="Arial"/>
          <w:b/>
          <w:sz w:val="24"/>
          <w:szCs w:val="24"/>
          <w:lang w:val="es-ES_tradnl"/>
        </w:rPr>
        <w:t>Facultad de Medicina U.B.A</w:t>
      </w:r>
    </w:p>
    <w:p w:rsidR="00F3293F" w:rsidRPr="00583D10" w:rsidRDefault="00F3293F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83D10">
        <w:rPr>
          <w:rFonts w:ascii="Arial" w:hAnsi="Arial" w:cs="Arial"/>
          <w:b/>
          <w:sz w:val="24"/>
          <w:szCs w:val="24"/>
          <w:lang w:val="es-ES_tradnl"/>
        </w:rPr>
        <w:t xml:space="preserve">Tecnicatura Universitaria en </w:t>
      </w:r>
      <w:r w:rsidR="00721484" w:rsidRPr="00721484">
        <w:rPr>
          <w:rFonts w:ascii="Arial" w:hAnsi="Arial" w:cs="Arial"/>
          <w:b/>
          <w:sz w:val="24"/>
        </w:rPr>
        <w:t>Hemoterapia e Inmunohematología</w:t>
      </w:r>
    </w:p>
    <w:p w:rsidR="00F3293F" w:rsidRPr="00583D10" w:rsidRDefault="00F3293F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1484" w:rsidRPr="00583D10" w:rsidRDefault="005269CB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b/>
          <w:bCs/>
          <w:sz w:val="28"/>
          <w:szCs w:val="28"/>
          <w:lang w:val="es-AR"/>
        </w:rPr>
        <w:t>HISTORIA DE LA MEDICINA TRANSFUSIONAL</w:t>
      </w:r>
      <w:r w:rsidRPr="006D2203">
        <w:rPr>
          <w:rFonts w:ascii="Arial" w:hAnsi="Arial" w:cs="Arial"/>
          <w:color w:val="FF0000"/>
          <w:lang w:val="es-AR"/>
        </w:rPr>
        <w:t xml:space="preserve">         </w:t>
      </w:r>
      <w:r w:rsidRPr="005D35B3">
        <w:rPr>
          <w:i/>
          <w:sz w:val="20"/>
          <w:lang w:val="es-AR"/>
        </w:rPr>
        <w:t xml:space="preserve">              </w:t>
      </w:r>
    </w:p>
    <w:p w:rsidR="00F3293F" w:rsidRDefault="00F3293F" w:rsidP="00F3293F">
      <w:pPr>
        <w:pStyle w:val="Sinespaciado"/>
        <w:jc w:val="center"/>
        <w:rPr>
          <w:rFonts w:ascii="Arial" w:hAnsi="Arial" w:cs="Arial"/>
          <w:lang w:val="es-ES_tradnl"/>
        </w:rPr>
      </w:pPr>
    </w:p>
    <w:p w:rsidR="006F131A" w:rsidRPr="005269CB" w:rsidRDefault="00C63754" w:rsidP="005269CB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Objetivos Específicos</w:t>
      </w:r>
      <w:r w:rsidR="006F131A" w:rsidRPr="005269CB">
        <w:rPr>
          <w:rFonts w:ascii="Arial" w:hAnsi="Arial" w:cs="Arial"/>
          <w:b/>
          <w:lang w:val="es-ES_tradnl"/>
        </w:rPr>
        <w:t xml:space="preserve">: </w:t>
      </w:r>
    </w:p>
    <w:p w:rsidR="00F3293F" w:rsidRPr="005269CB" w:rsidRDefault="00F3293F" w:rsidP="005269CB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</w:p>
    <w:p w:rsidR="00C35C86" w:rsidRPr="005269CB" w:rsidRDefault="00C35C86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Familiarizar al alumno con el carácter de construcción  social, cultural e histórica en torno a la medicina transfusional, mostrar la naturaleza histórica y social de los conocimientos médicos relacionados con las prácticas asociadas a ella. </w:t>
      </w:r>
    </w:p>
    <w:p w:rsidR="00C35C86" w:rsidRPr="005269CB" w:rsidRDefault="00C35C86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EL curso debe permitir identificar los factores sociales, culturales y políticos que encuadran las prácticas de la Medicina Transfusional y la relación entre los pacientes y los profesionales de la salud en cada momento histórico. Por último debe introducir al alumnado en los principios básicos de la comunicación científica y médica, proporcionando instrumentos básicos para poder escribir, presentar y analizar artículos y textos científicos de carácter médico e histórico médico.</w:t>
      </w:r>
    </w:p>
    <w:p w:rsidR="00DA25AD" w:rsidRPr="005269CB" w:rsidRDefault="00DA25AD" w:rsidP="005269CB">
      <w:pPr>
        <w:pStyle w:val="Sinespaciado"/>
        <w:spacing w:line="276" w:lineRule="auto"/>
        <w:jc w:val="both"/>
        <w:rPr>
          <w:rFonts w:ascii="Arial" w:hAnsi="Arial" w:cs="Arial"/>
          <w:lang w:val="es-ES_tradnl"/>
        </w:rPr>
      </w:pPr>
    </w:p>
    <w:p w:rsidR="00DA25AD" w:rsidRPr="005269CB" w:rsidRDefault="00DA25AD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5269CB">
        <w:rPr>
          <w:rFonts w:ascii="Arial" w:hAnsi="Arial" w:cs="Arial"/>
          <w:b/>
          <w:u w:val="single"/>
          <w:lang w:val="es-ES_tradnl"/>
        </w:rPr>
        <w:t>Objetivos generales:</w:t>
      </w:r>
    </w:p>
    <w:p w:rsidR="00F3293F" w:rsidRPr="005269CB" w:rsidRDefault="00F3293F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5269CB" w:rsidRPr="005269CB" w:rsidRDefault="005269CB" w:rsidP="005269C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Al terminar la cursada de Historia de la Medicina Transfusional el alumno deberá haber alcanzado los siguientes objetivos generales: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Profundizar en el análisis histórico de las distintas áreas del saber médico que forman parte de la medicina transfusional actual. 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Profundizar en el análisis de la evolución a través de la historia de los avances tecnológicos relacionados con la medicina transfusional.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Integrar los conocimientos aprendidos, reconociendo la base de la Medicina Transfusional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Reconocer porqué el carácter mágico de la sangre propició el avance histórico de la investigación en el campo de la transfusión de sangre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Entender la salud como un valor a lo largo de la historia y sus implicaciones sociales, culturales, políticas y económicas. 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Reconocer los conflictos sociales como motor del avance científico de la medicina transfusional</w:t>
      </w:r>
    </w:p>
    <w:p w:rsidR="005269CB" w:rsidRPr="005269CB" w:rsidRDefault="005269CB" w:rsidP="005269CB">
      <w:pPr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Reconocer el valor de los científicos Argentinos en el avance de la Medicina transfusional en el mundo en la figura de los </w:t>
      </w:r>
      <w:proofErr w:type="spellStart"/>
      <w:r w:rsidRPr="005269CB">
        <w:rPr>
          <w:rFonts w:ascii="Arial" w:hAnsi="Arial" w:cs="Arial"/>
          <w:sz w:val="22"/>
          <w:szCs w:val="22"/>
        </w:rPr>
        <w:t>Dres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. Luis Agote y César </w:t>
      </w:r>
      <w:proofErr w:type="spellStart"/>
      <w:r w:rsidRPr="005269CB">
        <w:rPr>
          <w:rFonts w:ascii="Arial" w:hAnsi="Arial" w:cs="Arial"/>
          <w:sz w:val="22"/>
          <w:szCs w:val="22"/>
        </w:rPr>
        <w:t>Milstein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entre otros.</w:t>
      </w:r>
    </w:p>
    <w:p w:rsidR="00721484" w:rsidRPr="005269CB" w:rsidRDefault="00721484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Pr="005269CB" w:rsidRDefault="00DA25AD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5269CB">
        <w:rPr>
          <w:rFonts w:ascii="Arial" w:hAnsi="Arial" w:cs="Arial"/>
          <w:b/>
          <w:u w:val="single"/>
          <w:lang w:val="es-ES_tradnl"/>
        </w:rPr>
        <w:t>Contenidos:</w:t>
      </w:r>
    </w:p>
    <w:p w:rsidR="00F3293F" w:rsidRPr="005269CB" w:rsidRDefault="00F3293F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5269CB" w:rsidRPr="005269CB" w:rsidRDefault="00DA25AD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 xml:space="preserve">Unidad </w:t>
      </w:r>
      <w:r w:rsidR="005269CB">
        <w:rPr>
          <w:rFonts w:ascii="Arial" w:hAnsi="Arial" w:cs="Arial"/>
          <w:b/>
          <w:sz w:val="22"/>
          <w:szCs w:val="22"/>
        </w:rPr>
        <w:t>I</w:t>
      </w:r>
      <w:r w:rsidR="005269CB" w:rsidRPr="005269CB">
        <w:rPr>
          <w:rFonts w:ascii="Arial" w:hAnsi="Arial" w:cs="Arial"/>
          <w:sz w:val="22"/>
          <w:szCs w:val="22"/>
        </w:rPr>
        <w:t xml:space="preserve"> 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De la pre-historia al renacimiento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El concepto de historia. Características generales de cada periodo. Paleolítico. Neolítico. Edad de los metales. Edad antigua, principales representantes de las </w:t>
      </w:r>
      <w:r w:rsidRPr="005269CB">
        <w:rPr>
          <w:rFonts w:ascii="Arial" w:hAnsi="Arial" w:cs="Arial"/>
          <w:sz w:val="22"/>
          <w:szCs w:val="22"/>
        </w:rPr>
        <w:lastRenderedPageBreak/>
        <w:t>ciencias médicas. Edad media. Rol mágico/ religioso de la sangre en las civilizaciones antiguas, mesopotámica, culturas pre helénicas, helénicas y roma.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 xml:space="preserve">UNIDAD II 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Del renacimiento a nuestros días. Primeros intentos de transfusión. Características generales de cada periodo. Principales representantes de las ciencias médicas. Renacimiento (siglo XVI), Barroco (1600-1740). Ilustración (1740-1800). Romanticismo (1800-1848). Positivismo (1848-1914). 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III</w:t>
      </w:r>
      <w:r w:rsidRPr="005269CB">
        <w:rPr>
          <w:rFonts w:ascii="Arial" w:hAnsi="Arial" w:cs="Arial"/>
          <w:sz w:val="22"/>
          <w:szCs w:val="22"/>
        </w:rPr>
        <w:t xml:space="preserve"> 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Siglo XX, la gran revolución en la medicina transfusional. Principales representantes y sus aportes a la medicina transfusional: Karl </w:t>
      </w:r>
      <w:proofErr w:type="spellStart"/>
      <w:r w:rsidRPr="005269CB">
        <w:rPr>
          <w:rFonts w:ascii="Arial" w:hAnsi="Arial" w:cs="Arial"/>
          <w:sz w:val="22"/>
          <w:szCs w:val="22"/>
        </w:rPr>
        <w:t>Landsteiner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, el descubrimiento del sistema ABO, premio </w:t>
      </w:r>
      <w:proofErr w:type="spellStart"/>
      <w:r w:rsidRPr="005269CB">
        <w:rPr>
          <w:rFonts w:ascii="Arial" w:hAnsi="Arial" w:cs="Arial"/>
          <w:sz w:val="22"/>
          <w:szCs w:val="22"/>
        </w:rPr>
        <w:t>Nóbel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y otros aportes.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 xml:space="preserve">UNIDAD IV 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Otros representantes y sus aportes. </w:t>
      </w:r>
      <w:proofErr w:type="spellStart"/>
      <w:r w:rsidRPr="005269CB">
        <w:rPr>
          <w:rFonts w:ascii="Arial" w:hAnsi="Arial" w:cs="Arial"/>
          <w:sz w:val="22"/>
          <w:szCs w:val="22"/>
        </w:rPr>
        <w:t>Wiener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9CB">
        <w:rPr>
          <w:rFonts w:ascii="Arial" w:hAnsi="Arial" w:cs="Arial"/>
          <w:sz w:val="22"/>
          <w:szCs w:val="22"/>
        </w:rPr>
        <w:t>Coombs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9CB">
        <w:rPr>
          <w:rFonts w:ascii="Arial" w:hAnsi="Arial" w:cs="Arial"/>
          <w:sz w:val="22"/>
          <w:szCs w:val="22"/>
        </w:rPr>
        <w:t>Mourant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9CB">
        <w:rPr>
          <w:rFonts w:ascii="Arial" w:hAnsi="Arial" w:cs="Arial"/>
          <w:sz w:val="22"/>
          <w:szCs w:val="22"/>
        </w:rPr>
        <w:t>Mollison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, reacciones hemolíticas post </w:t>
      </w:r>
      <w:proofErr w:type="spellStart"/>
      <w:r w:rsidRPr="005269CB">
        <w:rPr>
          <w:rFonts w:ascii="Arial" w:hAnsi="Arial" w:cs="Arial"/>
          <w:sz w:val="22"/>
          <w:szCs w:val="22"/>
        </w:rPr>
        <w:t>transfusionales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9CB">
        <w:rPr>
          <w:rFonts w:ascii="Arial" w:hAnsi="Arial" w:cs="Arial"/>
          <w:sz w:val="22"/>
          <w:szCs w:val="22"/>
        </w:rPr>
        <w:t>Levine</w:t>
      </w:r>
      <w:proofErr w:type="spellEnd"/>
      <w:r w:rsidRPr="005269CB">
        <w:rPr>
          <w:rFonts w:ascii="Arial" w:hAnsi="Arial" w:cs="Arial"/>
          <w:sz w:val="22"/>
          <w:szCs w:val="22"/>
        </w:rPr>
        <w:t>, enfermedad hemolítica feto neonatal. Cronología descubrimiento de otros sistemas de grupos sanguíneo.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 xml:space="preserve">UNIDAD V 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La primera transfusión con sangre </w:t>
      </w:r>
      <w:proofErr w:type="spellStart"/>
      <w:r w:rsidRPr="005269CB">
        <w:rPr>
          <w:rFonts w:ascii="Arial" w:hAnsi="Arial" w:cs="Arial"/>
          <w:sz w:val="22"/>
          <w:szCs w:val="22"/>
        </w:rPr>
        <w:t>citratada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. Luís Agote su vida. Significado de su contribución a la humanidad. I guerra mundial. La polémica con Albert </w:t>
      </w:r>
      <w:proofErr w:type="spellStart"/>
      <w:r w:rsidRPr="005269CB">
        <w:rPr>
          <w:rFonts w:ascii="Arial" w:hAnsi="Arial" w:cs="Arial"/>
          <w:sz w:val="22"/>
          <w:szCs w:val="22"/>
        </w:rPr>
        <w:t>Hustin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y Richard </w:t>
      </w:r>
      <w:proofErr w:type="spellStart"/>
      <w:r w:rsidRPr="005269CB">
        <w:rPr>
          <w:rFonts w:ascii="Arial" w:hAnsi="Arial" w:cs="Arial"/>
          <w:sz w:val="22"/>
          <w:szCs w:val="22"/>
        </w:rPr>
        <w:t>Lewisohn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. 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VI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Creación de los Bancos de sangre. Guerra civil española, las unidades móviles de transfusión del bando republicano. </w:t>
      </w:r>
      <w:proofErr w:type="spellStart"/>
      <w:r w:rsidRPr="005269CB">
        <w:rPr>
          <w:rFonts w:ascii="Arial" w:hAnsi="Arial" w:cs="Arial"/>
          <w:sz w:val="22"/>
          <w:szCs w:val="22"/>
        </w:rPr>
        <w:t>Bathune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medico internacionalista sus aportes. II guerra mundial. Centros de transfusiones. Plasma liofilizado. Guerra de Corea. La sangre como recurso estratégico de un país. La cruz roja y la media luna internacional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 xml:space="preserve">UNIDAD VII 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69CB">
        <w:rPr>
          <w:rFonts w:ascii="Arial" w:hAnsi="Arial" w:cs="Arial"/>
          <w:sz w:val="22"/>
          <w:szCs w:val="22"/>
        </w:rPr>
        <w:t>Hemocomponentes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. Fraccionamiento de la sangre. </w:t>
      </w:r>
      <w:proofErr w:type="spellStart"/>
      <w:r w:rsidRPr="005269CB">
        <w:rPr>
          <w:rFonts w:ascii="Arial" w:hAnsi="Arial" w:cs="Arial"/>
          <w:sz w:val="22"/>
          <w:szCs w:val="22"/>
        </w:rPr>
        <w:t>Cohn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y sus aportes. Surgimiento de los plásticos y su impacto en la medicina transfusional. 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VIII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Surgimiento de la maquinaria, centrifugas refrigeradas. Maquinas de </w:t>
      </w:r>
      <w:proofErr w:type="spellStart"/>
      <w:r w:rsidRPr="005269CB">
        <w:rPr>
          <w:rFonts w:ascii="Arial" w:hAnsi="Arial" w:cs="Arial"/>
          <w:sz w:val="22"/>
          <w:szCs w:val="22"/>
        </w:rPr>
        <w:t>Hemaféresis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y su evolución. Congelamiento de la sangre. Irradiación y filtración. Surgimientos de los técnicos como </w:t>
      </w:r>
      <w:proofErr w:type="spellStart"/>
      <w:r w:rsidRPr="005269CB">
        <w:rPr>
          <w:rFonts w:ascii="Arial" w:hAnsi="Arial" w:cs="Arial"/>
          <w:sz w:val="22"/>
          <w:szCs w:val="22"/>
        </w:rPr>
        <w:t>colobaradores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de la salud.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IX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Anticuerpos Monoclonales el gran salto. Cesar </w:t>
      </w:r>
      <w:proofErr w:type="spellStart"/>
      <w:r w:rsidRPr="005269CB">
        <w:rPr>
          <w:rFonts w:ascii="Arial" w:hAnsi="Arial" w:cs="Arial"/>
          <w:sz w:val="22"/>
          <w:szCs w:val="22"/>
        </w:rPr>
        <w:t>Milstein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su vida, su obra, premio </w:t>
      </w:r>
      <w:proofErr w:type="spellStart"/>
      <w:r w:rsidRPr="005269CB">
        <w:rPr>
          <w:rFonts w:ascii="Arial" w:hAnsi="Arial" w:cs="Arial"/>
          <w:sz w:val="22"/>
          <w:szCs w:val="22"/>
        </w:rPr>
        <w:t>Nóbel</w:t>
      </w:r>
      <w:proofErr w:type="spellEnd"/>
      <w:r w:rsidRPr="005269CB">
        <w:rPr>
          <w:rFonts w:ascii="Arial" w:hAnsi="Arial" w:cs="Arial"/>
          <w:sz w:val="22"/>
          <w:szCs w:val="22"/>
        </w:rPr>
        <w:t xml:space="preserve"> para la Argentina. De la fabricación artesanal de antisueros a los antisueros monoclonales. 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X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Avances en la reacción antígeno anticuerpo, aplicación al diagnostico in Vitro: medios albuminosos, enzimáticos, y de baja fuerza iónica, test en gel y otras técnicas. Diagnostico in Vitro serológico y su evolución. 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XI</w:t>
      </w:r>
    </w:p>
    <w:p w:rsid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 xml:space="preserve">Últimos avances. Sangre y hemoglobinas artificiales. Recolección de células progenitoras </w:t>
      </w:r>
      <w:proofErr w:type="spellStart"/>
      <w:r w:rsidRPr="005269CB">
        <w:rPr>
          <w:rFonts w:ascii="Arial" w:hAnsi="Arial" w:cs="Arial"/>
          <w:sz w:val="22"/>
          <w:szCs w:val="22"/>
        </w:rPr>
        <w:t>hematopoyeticas</w:t>
      </w:r>
      <w:proofErr w:type="spellEnd"/>
      <w:r w:rsidRPr="005269CB">
        <w:rPr>
          <w:rFonts w:ascii="Arial" w:hAnsi="Arial" w:cs="Arial"/>
          <w:sz w:val="22"/>
          <w:szCs w:val="22"/>
        </w:rPr>
        <w:t>. Biología molecular en grupos sanguíneos y enfermedades de transmisión transfusional.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</w:rPr>
        <w:t>UNIDAD XII</w:t>
      </w: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La sangre a través del arte, la pintura, la escultura, la literatura y el cine</w:t>
      </w:r>
    </w:p>
    <w:p w:rsidR="00DA25AD" w:rsidRPr="005269CB" w:rsidRDefault="00DA25AD" w:rsidP="005269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B123B" w:rsidRPr="005269CB" w:rsidRDefault="006B123B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Pr="005269CB" w:rsidRDefault="00DA25AD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5269CB">
        <w:rPr>
          <w:rFonts w:ascii="Arial" w:hAnsi="Arial" w:cs="Arial"/>
          <w:b/>
          <w:u w:val="single"/>
          <w:lang w:val="es-ES_tradnl"/>
        </w:rPr>
        <w:t xml:space="preserve">Carga Horaria: </w:t>
      </w:r>
    </w:p>
    <w:p w:rsidR="00721484" w:rsidRPr="005269CB" w:rsidRDefault="00721484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Pr="005269CB" w:rsidRDefault="005F50EC" w:rsidP="005269CB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lang w:val="es-ES_tradnl"/>
        </w:rPr>
        <w:t>Horas cátedras teóricas: 50 hs.</w:t>
      </w:r>
    </w:p>
    <w:p w:rsidR="00DA25AD" w:rsidRPr="005269CB" w:rsidRDefault="00DA25AD" w:rsidP="005269CB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u w:val="single"/>
          <w:lang w:val="es-ES_tradnl"/>
        </w:rPr>
      </w:pPr>
      <w:r w:rsidRPr="005269CB">
        <w:rPr>
          <w:rFonts w:ascii="Arial" w:hAnsi="Arial" w:cs="Arial"/>
          <w:lang w:val="es-ES_tradnl"/>
        </w:rPr>
        <w:t>horas re</w:t>
      </w:r>
      <w:r w:rsidR="005F50EC">
        <w:rPr>
          <w:rFonts w:ascii="Arial" w:hAnsi="Arial" w:cs="Arial"/>
          <w:lang w:val="es-ES_tradnl"/>
        </w:rPr>
        <w:t xml:space="preserve">loj prácticas </w:t>
      </w:r>
      <w:proofErr w:type="spellStart"/>
      <w:r w:rsidR="005F50EC">
        <w:rPr>
          <w:rFonts w:ascii="Arial" w:hAnsi="Arial" w:cs="Arial"/>
          <w:lang w:val="es-ES_tradnl"/>
        </w:rPr>
        <w:t>profesionalizante</w:t>
      </w:r>
      <w:proofErr w:type="spellEnd"/>
      <w:r w:rsidR="005F50EC">
        <w:rPr>
          <w:rFonts w:ascii="Arial" w:hAnsi="Arial" w:cs="Arial"/>
          <w:lang w:val="es-ES_tradnl"/>
        </w:rPr>
        <w:t>: 14 hs.</w:t>
      </w:r>
    </w:p>
    <w:p w:rsidR="00583D10" w:rsidRPr="005269CB" w:rsidRDefault="00583D10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583D10" w:rsidRPr="005269CB" w:rsidRDefault="00583D10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Pr="005269CB" w:rsidRDefault="00DA25AD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5269CB">
        <w:rPr>
          <w:rFonts w:ascii="Arial" w:hAnsi="Arial" w:cs="Arial"/>
          <w:b/>
          <w:u w:val="single"/>
          <w:lang w:val="es-ES_tradnl"/>
        </w:rPr>
        <w:t>Evaluación:</w:t>
      </w:r>
    </w:p>
    <w:p w:rsidR="00F3293F" w:rsidRPr="005269CB" w:rsidRDefault="00F3293F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>El proceso de enseñanza-aprendizaje tendrá una modalidad presencial.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69CB">
        <w:rPr>
          <w:rFonts w:ascii="Arial" w:hAnsi="Arial" w:cs="Arial"/>
          <w:sz w:val="22"/>
          <w:szCs w:val="22"/>
        </w:rPr>
        <w:t>El carácter estrictamente teórico de esta disciplina, obliga a utilizar una metodología expositiva (sesiones académicas teóricas) que en la medida de lo posible se alterne en el aula con elementos de interacción y discusión.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>El alumno deberá estar presente y aprobar el 80% de las mesas de discusión y actividades realizadas para ser considerado alumno regular en la materia.</w:t>
      </w:r>
    </w:p>
    <w:p w:rsidR="005269CB" w:rsidRPr="005269CB" w:rsidRDefault="005269CB" w:rsidP="005269CB">
      <w:pPr>
        <w:tabs>
          <w:tab w:val="left" w:pos="3828"/>
        </w:tabs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269CB">
        <w:rPr>
          <w:rFonts w:ascii="Arial" w:hAnsi="Arial" w:cs="Arial"/>
          <w:i/>
          <w:sz w:val="22"/>
          <w:szCs w:val="22"/>
        </w:rPr>
        <w:t xml:space="preserve">a) Criterios de evaluación: 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>Se impartirán clases teóricas y se estimulará la participación activa en mesas de discusión posteriores a las mismas, poniendo énfasis en la utilización fluida por parte del alumno de la terminología adecuada propia de la asignatura.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>Durante el examen parcial y el examen final se evaluarán los conceptos presentes en la bibliografía obligatoria.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269CB">
        <w:rPr>
          <w:rFonts w:ascii="Arial" w:hAnsi="Arial" w:cs="Arial"/>
          <w:i/>
          <w:sz w:val="22"/>
          <w:szCs w:val="22"/>
        </w:rPr>
        <w:t xml:space="preserve">b) Pautas de evaluación </w:t>
      </w:r>
    </w:p>
    <w:p w:rsidR="005269CB" w:rsidRPr="005269CB" w:rsidRDefault="005269CB" w:rsidP="005269CB">
      <w:pPr>
        <w:tabs>
          <w:tab w:val="left" w:pos="3828"/>
        </w:tabs>
        <w:suppressAutoHyphens/>
        <w:spacing w:after="120"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 xml:space="preserve">Habrá 1 (un) examen parcial que el alumno deberá aprobar para poder rendir el examen final como alumno regular. Si resultara desaprobado, -o no se hubiere presentado-, tendrá la oportunidad de volver a rendir en una sola de las fechas anunciadas para la recuperación. 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>Tanto en evaluaciones parciales como finales, el alumno aprobará el examen con una nota igual o mayor a 4, donde nota 4 equivale a un 60% de respuestas correctas del máximo posible considerado.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 xml:space="preserve">La modalidad de estos exámenes, tanto parciales como finales, será escrita de respuesta cerrada (selección múltiple). 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 xml:space="preserve">Si el número de alumnos, -en una fecha determinada- fuera inferior a veinte (20) la modalidad de evaluación podrá ser estructurada escrita de respuesta libre u oral, según disponga la mesa examinadora. 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 xml:space="preserve">Podrá considerarse adjudicar una nota de concepto en forma sistemática durante las mesas de discusión o trabajos prácticos basada en la valoración docente de </w:t>
      </w:r>
      <w:r w:rsidRPr="005269CB">
        <w:rPr>
          <w:rFonts w:ascii="Arial" w:hAnsi="Arial" w:cs="Arial"/>
          <w:iCs/>
          <w:sz w:val="22"/>
          <w:szCs w:val="22"/>
        </w:rPr>
        <w:lastRenderedPageBreak/>
        <w:t>habilidades comunicacionales del alumno, como así también su participación en grupos de trabajo, precisión en la ejecución de procedimientos y capacidad para aplicar, en situaciones concretas, los conocimientos teóricos adquiridos. De implementarse esta metodología, los alumnos serán informados de tal decisión durante la primera semana de iniciadas las clases.</w:t>
      </w:r>
    </w:p>
    <w:p w:rsidR="005269CB" w:rsidRPr="005269CB" w:rsidRDefault="005269CB" w:rsidP="005269CB">
      <w:pPr>
        <w:tabs>
          <w:tab w:val="left" w:pos="3828"/>
        </w:tabs>
        <w:suppressAutoHyphens/>
        <w:spacing w:line="276" w:lineRule="auto"/>
        <w:ind w:firstLine="400"/>
        <w:jc w:val="both"/>
        <w:rPr>
          <w:rFonts w:ascii="Arial" w:hAnsi="Arial" w:cs="Arial"/>
          <w:iCs/>
          <w:sz w:val="22"/>
          <w:szCs w:val="22"/>
        </w:rPr>
      </w:pPr>
      <w:r w:rsidRPr="005269CB">
        <w:rPr>
          <w:rFonts w:ascii="Arial" w:hAnsi="Arial" w:cs="Arial"/>
          <w:iCs/>
          <w:sz w:val="22"/>
          <w:szCs w:val="22"/>
        </w:rPr>
        <w:t>Si se considerara pertinente la implementación de evaluaciones parciales adicionales, esto será debidamente anunciado por la Unidad Académica al alumnado en la primera semana de clases.</w:t>
      </w:r>
    </w:p>
    <w:p w:rsidR="00721484" w:rsidRPr="005269CB" w:rsidRDefault="00721484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721484" w:rsidRPr="005269CB" w:rsidRDefault="00721484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5269CB" w:rsidRDefault="00DA25AD" w:rsidP="005269CB">
      <w:p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b/>
          <w:sz w:val="22"/>
          <w:szCs w:val="22"/>
          <w:u w:val="single"/>
          <w:lang w:val="es-ES_tradnl"/>
        </w:rPr>
        <w:t>Bibliografía</w:t>
      </w:r>
      <w:proofErr w:type="gramStart"/>
      <w:r w:rsidRPr="005269CB">
        <w:rPr>
          <w:rFonts w:ascii="Arial" w:hAnsi="Arial" w:cs="Arial"/>
          <w:b/>
          <w:sz w:val="22"/>
          <w:szCs w:val="22"/>
          <w:u w:val="single"/>
          <w:lang w:val="es-ES_tradnl"/>
        </w:rPr>
        <w:t>:</w:t>
      </w:r>
      <w:r w:rsidR="005269CB" w:rsidRPr="005269CB">
        <w:rPr>
          <w:rFonts w:ascii="Arial" w:hAnsi="Arial" w:cs="Arial"/>
          <w:i/>
          <w:spacing w:val="-3"/>
          <w:sz w:val="22"/>
          <w:szCs w:val="22"/>
        </w:rPr>
        <w:t xml:space="preserve"> .</w:t>
      </w:r>
      <w:proofErr w:type="gramEnd"/>
    </w:p>
    <w:p w:rsidR="005269CB" w:rsidRDefault="005269CB" w:rsidP="005269CB">
      <w:p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5269CB" w:rsidRPr="005269CB" w:rsidRDefault="005269CB" w:rsidP="005269CB">
      <w:pPr>
        <w:spacing w:line="276" w:lineRule="auto"/>
        <w:jc w:val="both"/>
        <w:rPr>
          <w:rFonts w:ascii="Arial" w:hAnsi="Arial" w:cs="Arial"/>
          <w:b/>
          <w:i/>
          <w:spacing w:val="-3"/>
          <w:sz w:val="22"/>
          <w:szCs w:val="22"/>
          <w:lang w:val="es-ES_tradnl"/>
        </w:rPr>
      </w:pPr>
      <w:r w:rsidRPr="005269CB">
        <w:rPr>
          <w:rFonts w:ascii="Arial" w:hAnsi="Arial" w:cs="Arial"/>
          <w:b/>
          <w:i/>
          <w:spacing w:val="-3"/>
          <w:sz w:val="22"/>
          <w:szCs w:val="22"/>
          <w:lang w:val="es-ES_tradnl"/>
        </w:rPr>
        <w:t>Bibliografía de lectura obligatoria:</w:t>
      </w:r>
    </w:p>
    <w:p w:rsidR="005269CB" w:rsidRPr="005269CB" w:rsidRDefault="005269CB" w:rsidP="005269C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b/>
          <w:i/>
          <w:spacing w:val="-3"/>
          <w:sz w:val="22"/>
          <w:szCs w:val="22"/>
        </w:rPr>
        <w:t>Historia de la sangre</w:t>
      </w:r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. Douglas </w:t>
      </w:r>
      <w:proofErr w:type="spellStart"/>
      <w:r w:rsidRPr="005269CB">
        <w:rPr>
          <w:rFonts w:ascii="Arial" w:hAnsi="Arial" w:cs="Arial"/>
          <w:i/>
          <w:spacing w:val="-3"/>
          <w:sz w:val="22"/>
          <w:szCs w:val="22"/>
        </w:rPr>
        <w:t>Starr</w:t>
      </w:r>
      <w:proofErr w:type="spellEnd"/>
    </w:p>
    <w:p w:rsidR="005269CB" w:rsidRPr="005269CB" w:rsidRDefault="005269CB" w:rsidP="005269C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i/>
          <w:spacing w:val="-3"/>
          <w:sz w:val="22"/>
          <w:szCs w:val="22"/>
        </w:rPr>
        <w:t>.</w:t>
      </w:r>
      <w:r w:rsidRPr="005269CB">
        <w:rPr>
          <w:rFonts w:ascii="Arial" w:hAnsi="Arial" w:cs="Arial"/>
          <w:b/>
          <w:i/>
          <w:spacing w:val="-3"/>
          <w:sz w:val="22"/>
          <w:szCs w:val="22"/>
        </w:rPr>
        <w:t xml:space="preserve">Historia del Hospital de </w:t>
      </w:r>
      <w:proofErr w:type="spellStart"/>
      <w:r w:rsidRPr="005269CB">
        <w:rPr>
          <w:rFonts w:ascii="Arial" w:hAnsi="Arial" w:cs="Arial"/>
          <w:b/>
          <w:i/>
          <w:spacing w:val="-3"/>
          <w:sz w:val="22"/>
          <w:szCs w:val="22"/>
        </w:rPr>
        <w:t>Clinicas</w:t>
      </w:r>
      <w:proofErr w:type="spellEnd"/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. </w:t>
      </w:r>
      <w:proofErr w:type="spellStart"/>
      <w:r w:rsidRPr="005269CB">
        <w:rPr>
          <w:rFonts w:ascii="Arial" w:hAnsi="Arial" w:cs="Arial"/>
          <w:i/>
          <w:spacing w:val="-3"/>
          <w:sz w:val="22"/>
          <w:szCs w:val="22"/>
        </w:rPr>
        <w:t>Pergola</w:t>
      </w:r>
      <w:proofErr w:type="spellEnd"/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 / Sanguinetti</w:t>
      </w:r>
    </w:p>
    <w:p w:rsidR="005269CB" w:rsidRPr="005269CB" w:rsidRDefault="005269CB" w:rsidP="005269C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b/>
          <w:i/>
          <w:spacing w:val="-3"/>
          <w:sz w:val="22"/>
          <w:szCs w:val="22"/>
        </w:rPr>
        <w:t>.Historia de la medicina</w:t>
      </w:r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. Eduardo </w:t>
      </w:r>
      <w:proofErr w:type="spellStart"/>
      <w:r w:rsidRPr="005269CB">
        <w:rPr>
          <w:rFonts w:ascii="Arial" w:hAnsi="Arial" w:cs="Arial"/>
          <w:i/>
          <w:spacing w:val="-3"/>
          <w:sz w:val="22"/>
          <w:szCs w:val="22"/>
        </w:rPr>
        <w:t>Malaspina</w:t>
      </w:r>
      <w:proofErr w:type="spellEnd"/>
    </w:p>
    <w:p w:rsidR="005269CB" w:rsidRPr="005269CB" w:rsidRDefault="005269CB" w:rsidP="005269C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i/>
          <w:spacing w:val="-3"/>
          <w:sz w:val="22"/>
          <w:szCs w:val="22"/>
        </w:rPr>
        <w:t>.</w:t>
      </w:r>
      <w:r w:rsidRPr="005269CB">
        <w:rPr>
          <w:rFonts w:ascii="Arial" w:hAnsi="Arial" w:cs="Arial"/>
          <w:b/>
          <w:i/>
          <w:spacing w:val="-3"/>
          <w:sz w:val="22"/>
          <w:szCs w:val="22"/>
        </w:rPr>
        <w:t xml:space="preserve">Manual </w:t>
      </w:r>
      <w:proofErr w:type="spellStart"/>
      <w:r w:rsidRPr="005269CB">
        <w:rPr>
          <w:rFonts w:ascii="Arial" w:hAnsi="Arial" w:cs="Arial"/>
          <w:b/>
          <w:i/>
          <w:spacing w:val="-3"/>
          <w:sz w:val="22"/>
          <w:szCs w:val="22"/>
        </w:rPr>
        <w:t>Tecnico</w:t>
      </w:r>
      <w:proofErr w:type="spellEnd"/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 AABB</w:t>
      </w:r>
    </w:p>
    <w:p w:rsidR="005269CB" w:rsidRPr="005269CB" w:rsidRDefault="005269CB" w:rsidP="005269C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i/>
          <w:spacing w:val="-3"/>
          <w:sz w:val="22"/>
          <w:szCs w:val="22"/>
        </w:rPr>
        <w:t>.</w:t>
      </w:r>
      <w:r w:rsidRPr="005269CB">
        <w:rPr>
          <w:rFonts w:ascii="Arial" w:hAnsi="Arial" w:cs="Arial"/>
          <w:b/>
          <w:i/>
          <w:spacing w:val="-3"/>
          <w:sz w:val="22"/>
          <w:szCs w:val="22"/>
        </w:rPr>
        <w:t xml:space="preserve">Doctor Luis </w:t>
      </w:r>
      <w:proofErr w:type="gramStart"/>
      <w:r w:rsidRPr="005269CB">
        <w:rPr>
          <w:rFonts w:ascii="Arial" w:hAnsi="Arial" w:cs="Arial"/>
          <w:b/>
          <w:i/>
          <w:spacing w:val="-3"/>
          <w:sz w:val="22"/>
          <w:szCs w:val="22"/>
        </w:rPr>
        <w:t>Agote</w:t>
      </w:r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 .</w:t>
      </w:r>
      <w:proofErr w:type="gramEnd"/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 AAHI</w:t>
      </w:r>
    </w:p>
    <w:p w:rsidR="005269CB" w:rsidRPr="005269CB" w:rsidRDefault="005269CB" w:rsidP="005269C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269CB">
        <w:rPr>
          <w:rFonts w:ascii="Arial" w:hAnsi="Arial" w:cs="Arial"/>
          <w:b/>
          <w:i/>
          <w:spacing w:val="-3"/>
          <w:sz w:val="22"/>
          <w:szCs w:val="22"/>
        </w:rPr>
        <w:t>Historia de la medicina transfusional</w:t>
      </w:r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. Jorge </w:t>
      </w:r>
      <w:proofErr w:type="spellStart"/>
      <w:r w:rsidRPr="005269CB">
        <w:rPr>
          <w:rFonts w:ascii="Arial" w:hAnsi="Arial" w:cs="Arial"/>
          <w:i/>
          <w:spacing w:val="-3"/>
          <w:sz w:val="22"/>
          <w:szCs w:val="22"/>
        </w:rPr>
        <w:t>Decaro</w:t>
      </w:r>
      <w:proofErr w:type="spellEnd"/>
      <w:r w:rsidRPr="005269CB">
        <w:rPr>
          <w:rFonts w:ascii="Arial" w:hAnsi="Arial" w:cs="Arial"/>
          <w:i/>
          <w:spacing w:val="-3"/>
          <w:sz w:val="22"/>
          <w:szCs w:val="22"/>
        </w:rPr>
        <w:t xml:space="preserve">, Felipe Lemos, Martin </w:t>
      </w:r>
      <w:proofErr w:type="spellStart"/>
      <w:r w:rsidRPr="005269CB">
        <w:rPr>
          <w:rFonts w:ascii="Arial" w:hAnsi="Arial" w:cs="Arial"/>
          <w:i/>
          <w:spacing w:val="-3"/>
          <w:sz w:val="22"/>
          <w:szCs w:val="22"/>
        </w:rPr>
        <w:t>Magri</w:t>
      </w:r>
      <w:proofErr w:type="spellEnd"/>
    </w:p>
    <w:p w:rsidR="005269CB" w:rsidRPr="005269CB" w:rsidRDefault="005269CB" w:rsidP="005269CB">
      <w:pPr>
        <w:spacing w:line="276" w:lineRule="auto"/>
        <w:ind w:left="720"/>
        <w:jc w:val="both"/>
        <w:rPr>
          <w:rFonts w:ascii="Arial" w:hAnsi="Arial" w:cs="Arial"/>
          <w:b/>
          <w:i/>
          <w:spacing w:val="-3"/>
          <w:sz w:val="22"/>
          <w:szCs w:val="22"/>
          <w:lang w:val="es-ES"/>
        </w:rPr>
      </w:pPr>
    </w:p>
    <w:p w:rsidR="005269CB" w:rsidRDefault="005269CB" w:rsidP="005269CB">
      <w:p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5269CB" w:rsidRDefault="005269CB" w:rsidP="005269CB">
      <w:pPr>
        <w:suppressAutoHyphens/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ES"/>
        </w:rPr>
      </w:pPr>
      <w:r w:rsidRPr="005269CB">
        <w:rPr>
          <w:rFonts w:ascii="Arial" w:hAnsi="Arial" w:cs="Arial"/>
          <w:b/>
          <w:i/>
          <w:sz w:val="22"/>
          <w:szCs w:val="22"/>
          <w:u w:val="single"/>
          <w:lang w:val="es-ES"/>
        </w:rPr>
        <w:t>Bibliografía de lectura optativa:</w:t>
      </w:r>
    </w:p>
    <w:p w:rsidR="005269CB" w:rsidRPr="005269CB" w:rsidRDefault="005269CB" w:rsidP="005269CB">
      <w:pPr>
        <w:suppressAutoHyphens/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ES"/>
        </w:rPr>
      </w:pPr>
    </w:p>
    <w:p w:rsidR="005269CB" w:rsidRPr="00AA4C19" w:rsidRDefault="005269CB" w:rsidP="00AA4C19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AA4C19">
        <w:rPr>
          <w:rFonts w:ascii="Arial" w:hAnsi="Arial" w:cs="Arial"/>
          <w:b/>
          <w:i/>
          <w:spacing w:val="-3"/>
          <w:sz w:val="22"/>
          <w:szCs w:val="22"/>
        </w:rPr>
        <w:t>El libro de la historia de la medicina</w:t>
      </w:r>
      <w:r w:rsidRPr="00AA4C19">
        <w:rPr>
          <w:rFonts w:ascii="Arial" w:hAnsi="Arial" w:cs="Arial"/>
          <w:i/>
          <w:spacing w:val="-3"/>
          <w:sz w:val="22"/>
          <w:szCs w:val="22"/>
        </w:rPr>
        <w:t>. Revista Muy especial año 5 Numero 11</w:t>
      </w:r>
    </w:p>
    <w:p w:rsidR="005269CB" w:rsidRPr="00AA4C19" w:rsidRDefault="005269CB" w:rsidP="00AA4C19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AA4C19">
        <w:rPr>
          <w:rFonts w:ascii="Arial" w:hAnsi="Arial" w:cs="Arial"/>
          <w:b/>
          <w:i/>
          <w:spacing w:val="-3"/>
          <w:sz w:val="22"/>
          <w:szCs w:val="22"/>
        </w:rPr>
        <w:t>El intelectual y la medicina transfusional</w:t>
      </w:r>
      <w:r w:rsidRPr="00AA4C19">
        <w:rPr>
          <w:rFonts w:ascii="Arial" w:hAnsi="Arial" w:cs="Arial"/>
          <w:i/>
          <w:spacing w:val="-3"/>
          <w:sz w:val="22"/>
          <w:szCs w:val="22"/>
        </w:rPr>
        <w:t xml:space="preserve">. </w:t>
      </w:r>
      <w:proofErr w:type="spellStart"/>
      <w:r w:rsidRPr="00AA4C19">
        <w:rPr>
          <w:rFonts w:ascii="Arial" w:hAnsi="Arial" w:cs="Arial"/>
          <w:i/>
          <w:spacing w:val="-3"/>
          <w:sz w:val="22"/>
          <w:szCs w:val="22"/>
        </w:rPr>
        <w:t>Perez</w:t>
      </w:r>
      <w:proofErr w:type="spellEnd"/>
      <w:r w:rsidRPr="00AA4C19">
        <w:rPr>
          <w:rFonts w:ascii="Arial" w:hAnsi="Arial" w:cs="Arial"/>
          <w:i/>
          <w:spacing w:val="-3"/>
          <w:sz w:val="22"/>
          <w:szCs w:val="22"/>
        </w:rPr>
        <w:t xml:space="preserve"> Prado</w:t>
      </w:r>
    </w:p>
    <w:p w:rsidR="005269CB" w:rsidRPr="00AA4C19" w:rsidRDefault="005269CB" w:rsidP="00AA4C19">
      <w:pPr>
        <w:pStyle w:val="Prrafodelista"/>
        <w:numPr>
          <w:ilvl w:val="0"/>
          <w:numId w:val="20"/>
        </w:numPr>
        <w:suppressAutoHyphens/>
        <w:spacing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AA4C19">
        <w:rPr>
          <w:rFonts w:ascii="Arial" w:hAnsi="Arial" w:cs="Arial"/>
          <w:i/>
          <w:spacing w:val="-3"/>
          <w:sz w:val="22"/>
          <w:szCs w:val="22"/>
        </w:rPr>
        <w:t xml:space="preserve">Los volúmenes de la </w:t>
      </w:r>
      <w:r w:rsidRPr="00AA4C19">
        <w:rPr>
          <w:rFonts w:ascii="Arial" w:hAnsi="Arial" w:cs="Arial"/>
          <w:b/>
          <w:bCs/>
          <w:i/>
          <w:spacing w:val="-3"/>
          <w:sz w:val="22"/>
          <w:szCs w:val="22"/>
        </w:rPr>
        <w:t>Revista Argentina de Transfusión</w:t>
      </w:r>
      <w:r w:rsidRPr="00AA4C19">
        <w:rPr>
          <w:rFonts w:ascii="Arial" w:hAnsi="Arial" w:cs="Arial"/>
          <w:i/>
          <w:spacing w:val="-3"/>
          <w:sz w:val="22"/>
          <w:szCs w:val="22"/>
        </w:rPr>
        <w:t xml:space="preserve">, editada por la Asociación Argentina de Hemoterapia e Inmunohematología, contienen monografías, revisiones, trabajos de investigación, comunicaciones científicas y traducciones de otras, que son una fuente permanente y actualizada en idioma español de un material bibliográfico muy útil. El equipo docente seleccionará de entre ellos y sugerirá oportunamente a los alumnos aquellos  que considere los documentos más adecuados y/o  necesarios para el estudio de los diversos contenidos de esta asignatura. </w:t>
      </w:r>
    </w:p>
    <w:p w:rsidR="00DA25AD" w:rsidRPr="005269CB" w:rsidRDefault="00DA25AD" w:rsidP="005269CB">
      <w:pPr>
        <w:pStyle w:val="Sinespaciado"/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Pr="005269CB" w:rsidRDefault="00DA25AD" w:rsidP="005269CB">
      <w:pPr>
        <w:pStyle w:val="Sinespaciado"/>
        <w:spacing w:line="276" w:lineRule="auto"/>
        <w:ind w:left="720"/>
        <w:jc w:val="both"/>
        <w:rPr>
          <w:rFonts w:ascii="Arial" w:hAnsi="Arial" w:cs="Arial"/>
          <w:b/>
        </w:rPr>
      </w:pPr>
    </w:p>
    <w:p w:rsidR="00721484" w:rsidRPr="005269CB" w:rsidRDefault="00721484" w:rsidP="005269CB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sectPr w:rsidR="00721484" w:rsidRPr="005269CB" w:rsidSect="00ED5D1E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33" w:rsidRDefault="00521B33" w:rsidP="0004580F">
      <w:r>
        <w:separator/>
      </w:r>
    </w:p>
  </w:endnote>
  <w:endnote w:type="continuationSeparator" w:id="1">
    <w:p w:rsidR="00521B33" w:rsidRDefault="00521B33" w:rsidP="00045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33" w:rsidRDefault="00521B33" w:rsidP="0004580F">
      <w:r>
        <w:separator/>
      </w:r>
    </w:p>
  </w:footnote>
  <w:footnote w:type="continuationSeparator" w:id="1">
    <w:p w:rsidR="00521B33" w:rsidRDefault="00521B33" w:rsidP="00045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0F" w:rsidRDefault="002E410F">
    <w:pPr>
      <w:pStyle w:val="Encabezado"/>
    </w:pPr>
    <w:r w:rsidRPr="002E410F">
      <w:rPr>
        <w:noProof/>
        <w:lang w:eastAsia="es-AR"/>
      </w:rPr>
      <w:drawing>
        <wp:inline distT="0" distB="0" distL="0" distR="0">
          <wp:extent cx="5400040" cy="1373992"/>
          <wp:effectExtent l="19050" t="0" r="0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3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4F2"/>
    <w:multiLevelType w:val="hybridMultilevel"/>
    <w:tmpl w:val="B2B41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860"/>
    <w:multiLevelType w:val="hybridMultilevel"/>
    <w:tmpl w:val="E880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7DD8"/>
    <w:multiLevelType w:val="hybridMultilevel"/>
    <w:tmpl w:val="3A1CAB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E76"/>
    <w:multiLevelType w:val="hybridMultilevel"/>
    <w:tmpl w:val="CB041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E4CAB"/>
    <w:multiLevelType w:val="hybridMultilevel"/>
    <w:tmpl w:val="205E0C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A5C390E"/>
    <w:multiLevelType w:val="hybridMultilevel"/>
    <w:tmpl w:val="532057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3872A2"/>
    <w:multiLevelType w:val="hybridMultilevel"/>
    <w:tmpl w:val="571E88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22174F"/>
    <w:multiLevelType w:val="hybridMultilevel"/>
    <w:tmpl w:val="F38E47E2"/>
    <w:lvl w:ilvl="0" w:tplc="5BFEA5E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06CC6"/>
    <w:multiLevelType w:val="hybridMultilevel"/>
    <w:tmpl w:val="5BA09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B337A"/>
    <w:multiLevelType w:val="hybridMultilevel"/>
    <w:tmpl w:val="047A0E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C2FBE"/>
    <w:multiLevelType w:val="hybridMultilevel"/>
    <w:tmpl w:val="C024B9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43343"/>
    <w:multiLevelType w:val="hybridMultilevel"/>
    <w:tmpl w:val="A98AC6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94906"/>
    <w:multiLevelType w:val="hybridMultilevel"/>
    <w:tmpl w:val="6C6A8FE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58805FBC"/>
    <w:multiLevelType w:val="hybridMultilevel"/>
    <w:tmpl w:val="A8460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A06C3"/>
    <w:multiLevelType w:val="hybridMultilevel"/>
    <w:tmpl w:val="41FEF7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225B"/>
    <w:multiLevelType w:val="hybridMultilevel"/>
    <w:tmpl w:val="887EF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9204D"/>
    <w:multiLevelType w:val="hybridMultilevel"/>
    <w:tmpl w:val="D3A60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A7C9E"/>
    <w:multiLevelType w:val="hybridMultilevel"/>
    <w:tmpl w:val="AEF0B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0B9"/>
    <w:multiLevelType w:val="hybridMultilevel"/>
    <w:tmpl w:val="A904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073DD"/>
    <w:multiLevelType w:val="hybridMultilevel"/>
    <w:tmpl w:val="908837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8"/>
  </w:num>
  <w:num w:numId="5">
    <w:abstractNumId w:val="1"/>
  </w:num>
  <w:num w:numId="6">
    <w:abstractNumId w:val="3"/>
  </w:num>
  <w:num w:numId="7">
    <w:abstractNumId w:val="15"/>
  </w:num>
  <w:num w:numId="8">
    <w:abstractNumId w:val="18"/>
  </w:num>
  <w:num w:numId="9">
    <w:abstractNumId w:val="0"/>
  </w:num>
  <w:num w:numId="10">
    <w:abstractNumId w:val="16"/>
  </w:num>
  <w:num w:numId="11">
    <w:abstractNumId w:val="10"/>
  </w:num>
  <w:num w:numId="12">
    <w:abstractNumId w:val="13"/>
  </w:num>
  <w:num w:numId="13">
    <w:abstractNumId w:val="12"/>
  </w:num>
  <w:num w:numId="14">
    <w:abstractNumId w:val="4"/>
  </w:num>
  <w:num w:numId="15">
    <w:abstractNumId w:val="7"/>
  </w:num>
  <w:num w:numId="16">
    <w:abstractNumId w:val="19"/>
  </w:num>
  <w:num w:numId="17">
    <w:abstractNumId w:val="9"/>
  </w:num>
  <w:num w:numId="18">
    <w:abstractNumId w:val="2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F08BF"/>
    <w:rsid w:val="00024F68"/>
    <w:rsid w:val="00032510"/>
    <w:rsid w:val="00044975"/>
    <w:rsid w:val="0004580F"/>
    <w:rsid w:val="00045B3B"/>
    <w:rsid w:val="00076057"/>
    <w:rsid w:val="000B583D"/>
    <w:rsid w:val="000B7884"/>
    <w:rsid w:val="000E4E71"/>
    <w:rsid w:val="000F3622"/>
    <w:rsid w:val="0011221A"/>
    <w:rsid w:val="001221AE"/>
    <w:rsid w:val="00181451"/>
    <w:rsid w:val="001B1E40"/>
    <w:rsid w:val="001B2873"/>
    <w:rsid w:val="001B35C9"/>
    <w:rsid w:val="001C44FE"/>
    <w:rsid w:val="001D3032"/>
    <w:rsid w:val="002008CB"/>
    <w:rsid w:val="00216036"/>
    <w:rsid w:val="002846BD"/>
    <w:rsid w:val="002A3AEF"/>
    <w:rsid w:val="002C69FF"/>
    <w:rsid w:val="002C761C"/>
    <w:rsid w:val="002D0BBB"/>
    <w:rsid w:val="002E410F"/>
    <w:rsid w:val="002F1937"/>
    <w:rsid w:val="00300B26"/>
    <w:rsid w:val="00311159"/>
    <w:rsid w:val="00370F02"/>
    <w:rsid w:val="003735AB"/>
    <w:rsid w:val="0038116E"/>
    <w:rsid w:val="003938C5"/>
    <w:rsid w:val="003B0956"/>
    <w:rsid w:val="003B20B1"/>
    <w:rsid w:val="003B340E"/>
    <w:rsid w:val="003B5F04"/>
    <w:rsid w:val="003C60EE"/>
    <w:rsid w:val="003E3718"/>
    <w:rsid w:val="004142F3"/>
    <w:rsid w:val="00421BE1"/>
    <w:rsid w:val="00422D82"/>
    <w:rsid w:val="004233EB"/>
    <w:rsid w:val="004340F4"/>
    <w:rsid w:val="0044185C"/>
    <w:rsid w:val="00457631"/>
    <w:rsid w:val="004904BF"/>
    <w:rsid w:val="004A47E0"/>
    <w:rsid w:val="004B32E8"/>
    <w:rsid w:val="004C5EF8"/>
    <w:rsid w:val="00521B33"/>
    <w:rsid w:val="005269CB"/>
    <w:rsid w:val="00534FC5"/>
    <w:rsid w:val="00583D10"/>
    <w:rsid w:val="005D497A"/>
    <w:rsid w:val="005F50EC"/>
    <w:rsid w:val="0061012D"/>
    <w:rsid w:val="00611AED"/>
    <w:rsid w:val="00612317"/>
    <w:rsid w:val="00637594"/>
    <w:rsid w:val="00697B3C"/>
    <w:rsid w:val="00697BBE"/>
    <w:rsid w:val="006A33D9"/>
    <w:rsid w:val="006B123B"/>
    <w:rsid w:val="006B78E1"/>
    <w:rsid w:val="006C69B4"/>
    <w:rsid w:val="006D3B2F"/>
    <w:rsid w:val="006E6CE8"/>
    <w:rsid w:val="006F131A"/>
    <w:rsid w:val="00701C1D"/>
    <w:rsid w:val="00721484"/>
    <w:rsid w:val="00734662"/>
    <w:rsid w:val="00740D5C"/>
    <w:rsid w:val="007448B4"/>
    <w:rsid w:val="007562F7"/>
    <w:rsid w:val="007647A6"/>
    <w:rsid w:val="007654CB"/>
    <w:rsid w:val="00772BAD"/>
    <w:rsid w:val="007926A8"/>
    <w:rsid w:val="0079315F"/>
    <w:rsid w:val="00795993"/>
    <w:rsid w:val="007C01B2"/>
    <w:rsid w:val="007C7C9F"/>
    <w:rsid w:val="007E175F"/>
    <w:rsid w:val="007E3757"/>
    <w:rsid w:val="007E7511"/>
    <w:rsid w:val="00802162"/>
    <w:rsid w:val="00827EC2"/>
    <w:rsid w:val="008352D4"/>
    <w:rsid w:val="00845AE8"/>
    <w:rsid w:val="008653CE"/>
    <w:rsid w:val="00880FB3"/>
    <w:rsid w:val="00885722"/>
    <w:rsid w:val="00896586"/>
    <w:rsid w:val="008C1766"/>
    <w:rsid w:val="008C3E5D"/>
    <w:rsid w:val="008F67FF"/>
    <w:rsid w:val="00920175"/>
    <w:rsid w:val="009227FF"/>
    <w:rsid w:val="0094283B"/>
    <w:rsid w:val="00947C88"/>
    <w:rsid w:val="00957E1C"/>
    <w:rsid w:val="00986BCE"/>
    <w:rsid w:val="00994DFE"/>
    <w:rsid w:val="009A68D4"/>
    <w:rsid w:val="009B224D"/>
    <w:rsid w:val="009E4DC3"/>
    <w:rsid w:val="009F1DB1"/>
    <w:rsid w:val="00A1075C"/>
    <w:rsid w:val="00A42A4A"/>
    <w:rsid w:val="00A679F1"/>
    <w:rsid w:val="00A909F9"/>
    <w:rsid w:val="00AA4C19"/>
    <w:rsid w:val="00AA4E9E"/>
    <w:rsid w:val="00AD739E"/>
    <w:rsid w:val="00B31C3C"/>
    <w:rsid w:val="00B421A4"/>
    <w:rsid w:val="00B441E8"/>
    <w:rsid w:val="00B4727F"/>
    <w:rsid w:val="00B67CF6"/>
    <w:rsid w:val="00B8434B"/>
    <w:rsid w:val="00B939AE"/>
    <w:rsid w:val="00BC170F"/>
    <w:rsid w:val="00BD3A46"/>
    <w:rsid w:val="00BF1AC2"/>
    <w:rsid w:val="00C164B8"/>
    <w:rsid w:val="00C35C86"/>
    <w:rsid w:val="00C43CF2"/>
    <w:rsid w:val="00C442F2"/>
    <w:rsid w:val="00C63754"/>
    <w:rsid w:val="00CB64F8"/>
    <w:rsid w:val="00CC06CB"/>
    <w:rsid w:val="00CC5C68"/>
    <w:rsid w:val="00CC7F8D"/>
    <w:rsid w:val="00CE2EE0"/>
    <w:rsid w:val="00CE4008"/>
    <w:rsid w:val="00D03DFD"/>
    <w:rsid w:val="00D07B41"/>
    <w:rsid w:val="00D259F0"/>
    <w:rsid w:val="00D27B60"/>
    <w:rsid w:val="00D50CBE"/>
    <w:rsid w:val="00D66E42"/>
    <w:rsid w:val="00D83927"/>
    <w:rsid w:val="00DA25AD"/>
    <w:rsid w:val="00DA2F7A"/>
    <w:rsid w:val="00DB112B"/>
    <w:rsid w:val="00DB5DF7"/>
    <w:rsid w:val="00DE55D5"/>
    <w:rsid w:val="00DF08BF"/>
    <w:rsid w:val="00DF53D4"/>
    <w:rsid w:val="00E3520F"/>
    <w:rsid w:val="00E635E2"/>
    <w:rsid w:val="00E82C82"/>
    <w:rsid w:val="00E84D40"/>
    <w:rsid w:val="00EB7036"/>
    <w:rsid w:val="00ED5D1E"/>
    <w:rsid w:val="00EE0118"/>
    <w:rsid w:val="00EE3FD9"/>
    <w:rsid w:val="00EE5A41"/>
    <w:rsid w:val="00F3293F"/>
    <w:rsid w:val="00F37FC0"/>
    <w:rsid w:val="00F57A9D"/>
    <w:rsid w:val="00F83C92"/>
    <w:rsid w:val="00FA50CF"/>
    <w:rsid w:val="00FC49AB"/>
    <w:rsid w:val="00FE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57631"/>
    <w:rPr>
      <w:rFonts w:ascii="Times New Roman" w:eastAsia="Times New Roman" w:hAnsi="Times New Roman"/>
      <w:lang w:val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57631"/>
    <w:pPr>
      <w:keepNext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57631"/>
    <w:rPr>
      <w:rFonts w:ascii="Times New Roman" w:hAnsi="Times New Roman" w:cs="Times New Roman"/>
      <w:b/>
      <w:sz w:val="20"/>
      <w:szCs w:val="20"/>
      <w:lang w:val="es-AR" w:eastAsia="es-ES"/>
    </w:rPr>
  </w:style>
  <w:style w:type="paragraph" w:styleId="Sinespaciado">
    <w:name w:val="No Spacing"/>
    <w:link w:val="SinespaciadoCar"/>
    <w:uiPriority w:val="1"/>
    <w:qFormat/>
    <w:rsid w:val="00DF08BF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rsid w:val="00457631"/>
    <w:pPr>
      <w:jc w:val="both"/>
    </w:pPr>
    <w:rPr>
      <w:sz w:val="2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57631"/>
    <w:rPr>
      <w:rFonts w:ascii="Times New Roman" w:hAnsi="Times New Roman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45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semiHidden/>
    <w:rsid w:val="00045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table" w:styleId="Tablaconcuadrcula">
    <w:name w:val="Table Grid"/>
    <w:basedOn w:val="Tablanormal"/>
    <w:uiPriority w:val="99"/>
    <w:rsid w:val="00A107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99"/>
    <w:rsid w:val="002008C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Calendar2">
    <w:name w:val="Calendar 2"/>
    <w:uiPriority w:val="99"/>
    <w:rsid w:val="00AA4E9E"/>
    <w:pPr>
      <w:jc w:val="center"/>
    </w:pPr>
    <w:rPr>
      <w:rFonts w:eastAsia="Times New Roman"/>
      <w:sz w:val="28"/>
      <w:szCs w:val="28"/>
      <w:lang w:val="en-U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99"/>
    <w:qFormat/>
    <w:rsid w:val="00772BAD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99"/>
    <w:semiHidden/>
    <w:rsid w:val="00772BAD"/>
    <w:pPr>
      <w:spacing w:after="100" w:line="276" w:lineRule="auto"/>
      <w:ind w:left="220"/>
    </w:pPr>
    <w:rPr>
      <w:rFonts w:ascii="Calibri" w:hAnsi="Calibr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99"/>
    <w:semiHidden/>
    <w:rsid w:val="00772BAD"/>
    <w:pPr>
      <w:spacing w:after="1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772BAD"/>
    <w:pPr>
      <w:spacing w:after="100" w:line="276" w:lineRule="auto"/>
      <w:ind w:left="440"/>
    </w:pPr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72B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72BAD"/>
    <w:rPr>
      <w:rFonts w:ascii="Tahoma" w:hAnsi="Tahoma" w:cs="Tahoma"/>
      <w:sz w:val="16"/>
      <w:szCs w:val="16"/>
      <w:lang w:val="es-A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D5D1E"/>
    <w:rPr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52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57631"/>
    <w:rPr>
      <w:rFonts w:ascii="Times New Roman" w:eastAsia="Times New Roman" w:hAnsi="Times New Roman"/>
      <w:lang w:val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57631"/>
    <w:pPr>
      <w:keepNext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57631"/>
    <w:rPr>
      <w:rFonts w:ascii="Times New Roman" w:hAnsi="Times New Roman" w:cs="Times New Roman"/>
      <w:b/>
      <w:sz w:val="20"/>
      <w:szCs w:val="20"/>
      <w:lang w:val="es-AR" w:eastAsia="es-ES"/>
    </w:rPr>
  </w:style>
  <w:style w:type="paragraph" w:styleId="Sinespaciado">
    <w:name w:val="No Spacing"/>
    <w:link w:val="SinespaciadoCar"/>
    <w:uiPriority w:val="1"/>
    <w:qFormat/>
    <w:rsid w:val="00DF08BF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rsid w:val="00457631"/>
    <w:pPr>
      <w:jc w:val="both"/>
    </w:pPr>
    <w:rPr>
      <w:sz w:val="2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57631"/>
    <w:rPr>
      <w:rFonts w:ascii="Times New Roman" w:hAnsi="Times New Roman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45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semiHidden/>
    <w:rsid w:val="00045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table" w:styleId="Tablaconcuadrcula">
    <w:name w:val="Table Grid"/>
    <w:basedOn w:val="Tablanormal"/>
    <w:uiPriority w:val="99"/>
    <w:rsid w:val="00A107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99"/>
    <w:rsid w:val="002008C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Calendar2">
    <w:name w:val="Calendar 2"/>
    <w:uiPriority w:val="99"/>
    <w:rsid w:val="00AA4E9E"/>
    <w:pPr>
      <w:jc w:val="center"/>
    </w:pPr>
    <w:rPr>
      <w:rFonts w:eastAsia="Times New Roman"/>
      <w:sz w:val="28"/>
      <w:szCs w:val="28"/>
      <w:lang w:val="en-U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99"/>
    <w:qFormat/>
    <w:rsid w:val="00772BAD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99"/>
    <w:semiHidden/>
    <w:rsid w:val="00772BAD"/>
    <w:pPr>
      <w:spacing w:after="100" w:line="276" w:lineRule="auto"/>
      <w:ind w:left="220"/>
    </w:pPr>
    <w:rPr>
      <w:rFonts w:ascii="Calibri" w:hAnsi="Calibr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99"/>
    <w:semiHidden/>
    <w:rsid w:val="00772BAD"/>
    <w:pPr>
      <w:spacing w:after="1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772BAD"/>
    <w:pPr>
      <w:spacing w:after="100" w:line="276" w:lineRule="auto"/>
      <w:ind w:left="440"/>
    </w:pPr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72B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72BAD"/>
    <w:rPr>
      <w:rFonts w:ascii="Tahoma" w:hAnsi="Tahoma" w:cs="Tahoma"/>
      <w:sz w:val="16"/>
      <w:szCs w:val="16"/>
      <w:lang w:val="es-A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D5D1E"/>
    <w:rPr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EF236-B0AB-4215-8B3F-AE7A557C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Ecocardiográfia y Doppler Cardiovascular</vt:lpstr>
    </vt:vector>
  </TitlesOfParts>
  <Company>Universidad de Buenos Aires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Ecocardiográfia y Doppler Cardiovascular</dc:title>
  <dc:subject>Carrera de Técnicos en Prácticas Cardiológicas</dc:subject>
  <dc:creator>Universidad de Buenos Aires – Facultad de Medicina</dc:creator>
  <cp:lastModifiedBy>tecnicatura1</cp:lastModifiedBy>
  <cp:revision>5</cp:revision>
  <cp:lastPrinted>2016-11-21T13:26:00Z</cp:lastPrinted>
  <dcterms:created xsi:type="dcterms:W3CDTF">2018-04-12T11:11:00Z</dcterms:created>
  <dcterms:modified xsi:type="dcterms:W3CDTF">2018-05-21T15:14:00Z</dcterms:modified>
</cp:coreProperties>
</file>